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60674" w14:textId="2205273B" w:rsidR="002773CF" w:rsidRPr="0033027D" w:rsidRDefault="002773CF" w:rsidP="002773CF">
      <w:pPr>
        <w:pStyle w:val="CRCoverPage"/>
        <w:tabs>
          <w:tab w:val="right" w:pos="9639"/>
        </w:tabs>
        <w:spacing w:after="0"/>
        <w:rPr>
          <w:b/>
          <w:noProof/>
          <w:sz w:val="24"/>
          <w:lang w:eastAsia="ja-JP"/>
        </w:rPr>
      </w:pPr>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#98-bis-e</w:t>
      </w:r>
      <w:r w:rsidRPr="0033027D">
        <w:rPr>
          <w:b/>
          <w:noProof/>
          <w:sz w:val="24"/>
        </w:rPr>
        <w:tab/>
      </w:r>
      <w:r w:rsidRPr="00FA5152">
        <w:rPr>
          <w:b/>
          <w:noProof/>
          <w:sz w:val="24"/>
        </w:rPr>
        <w:t>R4-2</w:t>
      </w:r>
      <w:r>
        <w:rPr>
          <w:b/>
          <w:noProof/>
          <w:sz w:val="24"/>
        </w:rPr>
        <w:t>1</w:t>
      </w:r>
      <w:r w:rsidR="007A1AB2">
        <w:rPr>
          <w:b/>
          <w:noProof/>
          <w:sz w:val="24"/>
        </w:rPr>
        <w:t>05043</w:t>
      </w:r>
    </w:p>
    <w:p w14:paraId="63C63B34" w14:textId="00D278F8" w:rsidR="001512D7" w:rsidRPr="00566BC5" w:rsidRDefault="002773CF" w:rsidP="002773CF">
      <w:pPr>
        <w:pStyle w:val="CRCoverPage"/>
        <w:outlineLvl w:val="0"/>
        <w:rPr>
          <w:b/>
          <w:noProof/>
          <w:sz w:val="24"/>
        </w:rPr>
      </w:pPr>
      <w:r>
        <w:rPr>
          <w:rFonts w:eastAsia="宋体"/>
          <w:b/>
          <w:sz w:val="24"/>
          <w:szCs w:val="24"/>
          <w:lang w:eastAsia="zh-CN"/>
        </w:rPr>
        <w:t>Electronic Meeting, Apr. 12-20</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13EFB28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2773CF">
        <w:rPr>
          <w:rFonts w:ascii="Arial" w:hAnsi="Arial" w:cs="Arial" w:hint="eastAsia"/>
          <w:b/>
          <w:lang w:eastAsia="zh-CN"/>
        </w:rPr>
        <w:t>TPMI</w:t>
      </w:r>
      <w:r w:rsidR="002773CF">
        <w:rPr>
          <w:rFonts w:ascii="Arial" w:hAnsi="Arial" w:cs="Arial"/>
          <w:b/>
        </w:rPr>
        <w:t xml:space="preserve"> configuration in EIRP measurement</w:t>
      </w:r>
      <w:bookmarkStart w:id="0" w:name="_GoBack"/>
      <w:bookmarkEnd w:id="0"/>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C1D9EA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773CF">
        <w:rPr>
          <w:rFonts w:ascii="Arial" w:hAnsi="Arial" w:cs="Arial"/>
          <w:b/>
        </w:rPr>
        <w:t>9</w:t>
      </w:r>
      <w:r w:rsidR="00695FED">
        <w:rPr>
          <w:rFonts w:ascii="Arial" w:hAnsi="Arial" w:cs="Arial"/>
          <w:b/>
        </w:rPr>
        <w:t>.1.</w:t>
      </w:r>
      <w:r w:rsidR="00091315">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13C177E" w14:textId="78D7C7D1" w:rsidR="009925C5" w:rsidRDefault="00940E80" w:rsidP="008F13B3">
      <w:pPr>
        <w:rPr>
          <w:rFonts w:eastAsia="Malgun Gothic"/>
          <w:lang w:val="en-US"/>
        </w:rPr>
      </w:pPr>
      <w:r>
        <w:rPr>
          <w:lang w:eastAsia="zh-CN"/>
        </w:rPr>
        <w:t>In RAN4#9</w:t>
      </w:r>
      <w:r w:rsidR="003C35D6">
        <w:rPr>
          <w:lang w:eastAsia="zh-CN"/>
        </w:rPr>
        <w:t>8</w:t>
      </w:r>
      <w:r>
        <w:rPr>
          <w:lang w:eastAsia="zh-CN"/>
        </w:rPr>
        <w:t>e meeting</w:t>
      </w:r>
      <w:r w:rsidR="009925C5">
        <w:rPr>
          <w:lang w:eastAsia="zh-CN"/>
        </w:rPr>
        <w:t xml:space="preserve">, </w:t>
      </w:r>
      <w:r w:rsidR="003C35D6">
        <w:rPr>
          <w:lang w:eastAsia="zh-CN"/>
        </w:rPr>
        <w:t xml:space="preserve">the text proposal [1] to TR38.884 on </w:t>
      </w:r>
      <w:r w:rsidR="003C35D6" w:rsidRPr="003C35D6">
        <w:rPr>
          <w:lang w:eastAsia="zh-CN"/>
        </w:rPr>
        <w:t>polarization basis mismatch</w:t>
      </w:r>
      <w:r w:rsidR="003C35D6">
        <w:rPr>
          <w:lang w:eastAsia="zh-CN"/>
        </w:rPr>
        <w:t xml:space="preserve"> has been approved. About the TPMI method to enhance EIRP measurement, the open i</w:t>
      </w:r>
      <w:r w:rsidR="00E162EC">
        <w:rPr>
          <w:lang w:eastAsia="zh-CN"/>
        </w:rPr>
        <w:t>ssues are captured in the WF [2</w:t>
      </w:r>
      <w:r w:rsidR="005926BB">
        <w:rPr>
          <w:lang w:eastAsia="zh-CN"/>
        </w:rPr>
        <w:t>]:</w:t>
      </w:r>
    </w:p>
    <w:p w14:paraId="04020096" w14:textId="54CA4953" w:rsidR="009925C5" w:rsidRDefault="009925C5" w:rsidP="008F13B3">
      <w:pPr>
        <w:rPr>
          <w:lang w:eastAsia="zh-CN"/>
        </w:rPr>
      </w:pPr>
      <w:r>
        <w:rPr>
          <w:noProof/>
          <w:lang w:val="en-US" w:eastAsia="zh-CN"/>
        </w:rPr>
        <mc:AlternateContent>
          <mc:Choice Requires="wps">
            <w:drawing>
              <wp:inline distT="0" distB="0" distL="0" distR="0" wp14:anchorId="6F6BE04C" wp14:editId="5B555C8D">
                <wp:extent cx="6037385" cy="4971671"/>
                <wp:effectExtent l="0" t="0" r="20955" b="1968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4971671"/>
                        </a:xfrm>
                        <a:prstGeom prst="rect">
                          <a:avLst/>
                        </a:prstGeom>
                        <a:solidFill>
                          <a:srgbClr val="FFFFFF"/>
                        </a:solidFill>
                        <a:ln w="9525">
                          <a:solidFill>
                            <a:srgbClr val="000000"/>
                          </a:solidFill>
                          <a:miter lim="800000"/>
                          <a:headEnd/>
                          <a:tailEnd/>
                        </a:ln>
                      </wps:spPr>
                      <wps:txbx>
                        <w:txbxContent>
                          <w:p w14:paraId="2DAA4C58" w14:textId="77777777" w:rsidR="00647856" w:rsidRPr="003C35D6" w:rsidRDefault="00120CBF" w:rsidP="003C35D6">
                            <w:pPr>
                              <w:numPr>
                                <w:ilvl w:val="0"/>
                                <w:numId w:val="42"/>
                              </w:numPr>
                              <w:rPr>
                                <w:lang w:val="en-US"/>
                              </w:rPr>
                            </w:pPr>
                            <w:r w:rsidRPr="003C35D6">
                              <w:t>Detailed TPMI method enhancement coverage is FFS</w:t>
                            </w:r>
                          </w:p>
                          <w:p w14:paraId="793FA175" w14:textId="77777777" w:rsidR="00647856" w:rsidRDefault="00120CBF" w:rsidP="003C35D6">
                            <w:pPr>
                              <w:numPr>
                                <w:ilvl w:val="1"/>
                                <w:numId w:val="42"/>
                              </w:numPr>
                              <w:rPr>
                                <w:lang w:val="en-US"/>
                              </w:rPr>
                            </w:pPr>
                            <w:r w:rsidRPr="003C35D6">
                              <w:rPr>
                                <w:lang w:val="en-US"/>
                              </w:rPr>
                              <w:t>if TPMI method is applicable for clause 6.2 of TS38.101-2, then 2 port SRS (</w:t>
                            </w:r>
                            <w:r w:rsidRPr="003C35D6">
                              <w:rPr>
                                <w:i/>
                                <w:iCs/>
                                <w:lang w:val="en-US"/>
                              </w:rPr>
                              <w:t>nrofSRS-Ports</w:t>
                            </w:r>
                            <w:r w:rsidRPr="003C35D6">
                              <w:rPr>
                                <w:lang w:val="en-US"/>
                              </w:rPr>
                              <w:t xml:space="preserve"> = 2) shall be configured</w:t>
                            </w:r>
                          </w:p>
                          <w:tbl>
                            <w:tblPr>
                              <w:tblW w:w="9204" w:type="dxa"/>
                              <w:tblCellMar>
                                <w:left w:w="0" w:type="dxa"/>
                                <w:right w:w="0" w:type="dxa"/>
                              </w:tblCellMar>
                              <w:tblLook w:val="0420" w:firstRow="1" w:lastRow="0" w:firstColumn="0" w:lastColumn="0" w:noHBand="0" w:noVBand="1"/>
                            </w:tblPr>
                            <w:tblGrid>
                              <w:gridCol w:w="3959"/>
                              <w:gridCol w:w="2552"/>
                              <w:gridCol w:w="2693"/>
                            </w:tblGrid>
                            <w:tr w:rsidR="004B1191" w:rsidRPr="004B1191" w14:paraId="2A296660" w14:textId="77777777" w:rsidTr="00511340">
                              <w:trPr>
                                <w:trHeight w:val="464"/>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662EC84F" w14:textId="77777777" w:rsidR="004B1191" w:rsidRPr="004B1191" w:rsidRDefault="004B1191" w:rsidP="004B1191">
                                  <w:pPr>
                                    <w:rPr>
                                      <w:sz w:val="16"/>
                                      <w:lang w:val="en-US" w:eastAsia="zh-CN"/>
                                    </w:rPr>
                                  </w:pPr>
                                  <w:r w:rsidRPr="004B1191">
                                    <w:rPr>
                                      <w:sz w:val="16"/>
                                      <w:lang w:val="en-US" w:eastAsia="zh-CN"/>
                                    </w:rPr>
                                    <w:t xml:space="preserve">TPMI method </w:t>
                                  </w:r>
                                  <w:r w:rsidRPr="004B1191">
                                    <w:rPr>
                                      <w:sz w:val="16"/>
                                      <w:lang w:val="en-US" w:eastAsia="zh-CN"/>
                                    </w:rPr>
                                    <w:br/>
                                    <w:t>enhancement coverage</w:t>
                                  </w:r>
                                </w:p>
                              </w:tc>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2BC76833" w14:textId="77777777" w:rsidR="004B1191" w:rsidRPr="004B1191" w:rsidRDefault="004B1191" w:rsidP="004B1191">
                                  <w:pPr>
                                    <w:rPr>
                                      <w:sz w:val="16"/>
                                      <w:lang w:val="en-US" w:eastAsia="zh-CN"/>
                                    </w:rPr>
                                  </w:pPr>
                                  <w:r w:rsidRPr="004B1191">
                                    <w:rPr>
                                      <w:sz w:val="16"/>
                                      <w:lang w:val="en-US" w:eastAsia="zh-CN"/>
                                    </w:rPr>
                                    <w:t>clause 6.2 of TS38.101-2</w:t>
                                  </w:r>
                                  <w:r w:rsidRPr="004B1191">
                                    <w:rPr>
                                      <w:sz w:val="16"/>
                                      <w:lang w:val="en-US" w:eastAsia="zh-CN"/>
                                    </w:rPr>
                                    <w:br/>
                                    <w:t>(</w:t>
                                  </w:r>
                                  <w:r w:rsidRPr="004B1191">
                                    <w:rPr>
                                      <w:sz w:val="16"/>
                                      <w:lang w:eastAsia="zh-CN"/>
                                    </w:rPr>
                                    <w:t>Transmitter power</w:t>
                                  </w:r>
                                  <w:r w:rsidRPr="004B1191">
                                    <w:rPr>
                                      <w:sz w:val="16"/>
                                      <w:lang w:val="en-US" w:eastAsia="zh-CN"/>
                                    </w:rPr>
                                    <w:t>)</w:t>
                                  </w:r>
                                </w:p>
                              </w:tc>
                              <w:tc>
                                <w:tcPr>
                                  <w:tcW w:w="2693"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1BF53CC7" w14:textId="77777777" w:rsidR="004B1191" w:rsidRPr="004B1191" w:rsidRDefault="004B1191" w:rsidP="004B1191">
                                  <w:pPr>
                                    <w:rPr>
                                      <w:sz w:val="16"/>
                                      <w:lang w:val="en-US" w:eastAsia="zh-CN"/>
                                    </w:rPr>
                                  </w:pPr>
                                  <w:r w:rsidRPr="004B1191">
                                    <w:rPr>
                                      <w:sz w:val="16"/>
                                      <w:lang w:val="en-US" w:eastAsia="zh-CN"/>
                                    </w:rPr>
                                    <w:t>Clause 6.1, 6.3 to 6.6 of TS38.101-2</w:t>
                                  </w:r>
                                  <w:r w:rsidRPr="004B1191">
                                    <w:rPr>
                                      <w:sz w:val="16"/>
                                      <w:lang w:val="en-US" w:eastAsia="zh-CN"/>
                                    </w:rPr>
                                    <w:br/>
                                    <w:t xml:space="preserve">(other </w:t>
                                  </w:r>
                                  <w:r w:rsidRPr="004B1191">
                                    <w:rPr>
                                      <w:sz w:val="16"/>
                                      <w:lang w:eastAsia="zh-CN"/>
                                    </w:rPr>
                                    <w:t>Transmitter characteristics</w:t>
                                  </w:r>
                                  <w:r w:rsidRPr="004B1191">
                                    <w:rPr>
                                      <w:sz w:val="16"/>
                                      <w:lang w:val="en-US" w:eastAsia="zh-CN"/>
                                    </w:rPr>
                                    <w:t>)</w:t>
                                  </w:r>
                                </w:p>
                              </w:tc>
                            </w:tr>
                            <w:tr w:rsidR="004B1191" w:rsidRPr="004B1191" w14:paraId="5DDDAE01" w14:textId="77777777" w:rsidTr="00511340">
                              <w:trPr>
                                <w:trHeight w:val="265"/>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114940AD" w14:textId="77777777" w:rsidR="004B1191" w:rsidRPr="004B1191" w:rsidRDefault="004B1191" w:rsidP="004B1191">
                                  <w:pPr>
                                    <w:rPr>
                                      <w:sz w:val="16"/>
                                      <w:lang w:val="en-US" w:eastAsia="zh-CN"/>
                                    </w:rPr>
                                  </w:pPr>
                                  <w:r w:rsidRPr="004B1191">
                                    <w:rPr>
                                      <w:sz w:val="16"/>
                                      <w:lang w:val="en-US" w:eastAsia="zh-CN"/>
                                    </w:rPr>
                                    <w:t>Rel-15 nonCoherent UEs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4242F17B" w14:textId="77777777" w:rsidR="004B1191" w:rsidRPr="004B1191" w:rsidRDefault="004B1191" w:rsidP="004B1191">
                                  <w:pPr>
                                    <w:rPr>
                                      <w:sz w:val="16"/>
                                      <w:lang w:val="en-US" w:eastAsia="zh-CN"/>
                                    </w:rPr>
                                  </w:pPr>
                                  <w:r w:rsidRPr="004B1191">
                                    <w:rPr>
                                      <w:sz w:val="16"/>
                                      <w:lang w:val="en-US" w:eastAsia="zh-CN"/>
                                    </w:rPr>
                                    <w:t>No</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1D36E436" w14:textId="77777777" w:rsidR="004B1191" w:rsidRPr="004B1191" w:rsidRDefault="004B1191" w:rsidP="004B1191">
                                  <w:pPr>
                                    <w:rPr>
                                      <w:sz w:val="16"/>
                                      <w:lang w:val="en-US" w:eastAsia="zh-CN"/>
                                    </w:rPr>
                                  </w:pPr>
                                  <w:r w:rsidRPr="004B1191">
                                    <w:rPr>
                                      <w:sz w:val="16"/>
                                      <w:lang w:val="en-US" w:eastAsia="zh-CN"/>
                                    </w:rPr>
                                    <w:t>No</w:t>
                                  </w:r>
                                </w:p>
                              </w:tc>
                            </w:tr>
                            <w:tr w:rsidR="004B1191" w:rsidRPr="004B1191" w14:paraId="434D43B9" w14:textId="77777777" w:rsidTr="00511340">
                              <w:trPr>
                                <w:trHeight w:val="265"/>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1C6933A8" w14:textId="77777777" w:rsidR="004B1191" w:rsidRPr="004B1191" w:rsidRDefault="004B1191" w:rsidP="004B1191">
                                  <w:pPr>
                                    <w:rPr>
                                      <w:sz w:val="16"/>
                                      <w:lang w:val="en-US" w:eastAsia="zh-CN"/>
                                    </w:rPr>
                                  </w:pPr>
                                  <w:r w:rsidRPr="004B1191">
                                    <w:rPr>
                                      <w:sz w:val="16"/>
                                      <w:lang w:val="en-US" w:eastAsia="zh-CN"/>
                                    </w:rPr>
                                    <w:t>Rel-15 coherent UEs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0AEF7EF7" w14:textId="77777777" w:rsidR="004B1191" w:rsidRPr="004B1191" w:rsidRDefault="004B1191" w:rsidP="004B1191">
                                  <w:pPr>
                                    <w:rPr>
                                      <w:sz w:val="16"/>
                                      <w:lang w:val="en-US" w:eastAsia="zh-CN"/>
                                    </w:rPr>
                                  </w:pPr>
                                  <w:r w:rsidRPr="004B1191">
                                    <w:rPr>
                                      <w:sz w:val="16"/>
                                      <w:lang w:val="en-US" w:eastAsia="zh-CN"/>
                                    </w:rPr>
                                    <w:t>[Yes]</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20E66F6C" w14:textId="77777777" w:rsidR="004B1191" w:rsidRPr="004B1191" w:rsidRDefault="004B1191" w:rsidP="004B1191">
                                  <w:pPr>
                                    <w:rPr>
                                      <w:sz w:val="16"/>
                                      <w:lang w:val="en-US" w:eastAsia="zh-CN"/>
                                    </w:rPr>
                                  </w:pPr>
                                  <w:r w:rsidRPr="004B1191">
                                    <w:rPr>
                                      <w:sz w:val="16"/>
                                      <w:lang w:val="en-US" w:eastAsia="zh-CN"/>
                                    </w:rPr>
                                    <w:t>[Yes]</w:t>
                                  </w:r>
                                </w:p>
                              </w:tc>
                            </w:tr>
                            <w:tr w:rsidR="004B1191" w:rsidRPr="004B1191" w14:paraId="1C36B44A" w14:textId="77777777" w:rsidTr="00511340">
                              <w:trPr>
                                <w:trHeight w:val="265"/>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062BE09C" w14:textId="77777777" w:rsidR="004B1191" w:rsidRPr="004B1191" w:rsidRDefault="004B1191" w:rsidP="004B1191">
                                  <w:pPr>
                                    <w:rPr>
                                      <w:sz w:val="16"/>
                                      <w:lang w:val="en-US" w:eastAsia="zh-CN"/>
                                    </w:rPr>
                                  </w:pPr>
                                  <w:r w:rsidRPr="004B1191">
                                    <w:rPr>
                                      <w:sz w:val="16"/>
                                      <w:lang w:val="en-US" w:eastAsia="zh-CN"/>
                                    </w:rPr>
                                    <w:t>Rel-16 nonCoherent UEs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5C547053" w14:textId="77777777" w:rsidR="004B1191" w:rsidRPr="004B1191" w:rsidRDefault="004B1191" w:rsidP="004B1191">
                                  <w:pPr>
                                    <w:rPr>
                                      <w:sz w:val="16"/>
                                      <w:lang w:val="en-US" w:eastAsia="zh-CN"/>
                                    </w:rPr>
                                  </w:pPr>
                                  <w:r w:rsidRPr="004B1191">
                                    <w:rPr>
                                      <w:sz w:val="16"/>
                                      <w:lang w:val="en-US" w:eastAsia="zh-CN"/>
                                    </w:rPr>
                                    <w:t>No</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2E660E13" w14:textId="77777777" w:rsidR="004B1191" w:rsidRPr="004B1191" w:rsidRDefault="004B1191" w:rsidP="004B1191">
                                  <w:pPr>
                                    <w:rPr>
                                      <w:sz w:val="16"/>
                                      <w:lang w:val="en-US" w:eastAsia="zh-CN"/>
                                    </w:rPr>
                                  </w:pPr>
                                  <w:r w:rsidRPr="004B1191">
                                    <w:rPr>
                                      <w:sz w:val="16"/>
                                      <w:lang w:val="en-US" w:eastAsia="zh-CN"/>
                                    </w:rPr>
                                    <w:t>No</w:t>
                                  </w:r>
                                </w:p>
                              </w:tc>
                            </w:tr>
                            <w:tr w:rsidR="004B1191" w:rsidRPr="004B1191" w14:paraId="690CF814" w14:textId="77777777" w:rsidTr="00511340">
                              <w:trPr>
                                <w:trHeight w:val="265"/>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79AF35FF" w14:textId="77777777" w:rsidR="004B1191" w:rsidRPr="004B1191" w:rsidRDefault="004B1191" w:rsidP="004B1191">
                                  <w:pPr>
                                    <w:rPr>
                                      <w:sz w:val="16"/>
                                      <w:lang w:val="en-US" w:eastAsia="zh-CN"/>
                                    </w:rPr>
                                  </w:pPr>
                                  <w:r w:rsidRPr="004B1191">
                                    <w:rPr>
                                      <w:sz w:val="16"/>
                                      <w:lang w:val="en-US" w:eastAsia="zh-CN"/>
                                    </w:rPr>
                                    <w:t>Rel-16 coherent UEs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51B783E7" w14:textId="77777777" w:rsidR="004B1191" w:rsidRPr="004B1191" w:rsidRDefault="004B1191" w:rsidP="004B1191">
                                  <w:pPr>
                                    <w:rPr>
                                      <w:sz w:val="16"/>
                                      <w:lang w:val="en-US" w:eastAsia="zh-CN"/>
                                    </w:rPr>
                                  </w:pPr>
                                  <w:r w:rsidRPr="004B1191">
                                    <w:rPr>
                                      <w:sz w:val="16"/>
                                      <w:lang w:val="en-US" w:eastAsia="zh-CN"/>
                                    </w:rPr>
                                    <w:t>[Yes]</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084C0FF6" w14:textId="77777777" w:rsidR="004B1191" w:rsidRPr="004B1191" w:rsidRDefault="004B1191" w:rsidP="004B1191">
                                  <w:pPr>
                                    <w:rPr>
                                      <w:sz w:val="16"/>
                                      <w:lang w:val="en-US" w:eastAsia="zh-CN"/>
                                    </w:rPr>
                                  </w:pPr>
                                  <w:r w:rsidRPr="004B1191">
                                    <w:rPr>
                                      <w:sz w:val="16"/>
                                      <w:lang w:val="en-US" w:eastAsia="zh-CN"/>
                                    </w:rPr>
                                    <w:t>[Yes]</w:t>
                                  </w:r>
                                </w:p>
                              </w:tc>
                            </w:tr>
                            <w:tr w:rsidR="004B1191" w:rsidRPr="004B1191" w14:paraId="36DC451C" w14:textId="77777777" w:rsidTr="004B1191">
                              <w:trPr>
                                <w:trHeight w:val="204"/>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3195FB72" w14:textId="77777777" w:rsidR="004B1191" w:rsidRPr="004B1191" w:rsidRDefault="004B1191" w:rsidP="004B1191">
                                  <w:pPr>
                                    <w:rPr>
                                      <w:sz w:val="16"/>
                                      <w:lang w:val="en-US" w:eastAsia="zh-CN"/>
                                    </w:rPr>
                                  </w:pPr>
                                  <w:r w:rsidRPr="004B1191">
                                    <w:rPr>
                                      <w:sz w:val="16"/>
                                      <w:lang w:val="en-US" w:eastAsia="zh-CN"/>
                                    </w:rPr>
                                    <w:t>Rel-16 nonCoherent UEs which support uplink full power transmission</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61DC18A2" w14:textId="77777777" w:rsidR="004B1191" w:rsidRPr="004B1191" w:rsidRDefault="004B1191" w:rsidP="004B1191">
                                  <w:pPr>
                                    <w:rPr>
                                      <w:sz w:val="16"/>
                                      <w:lang w:val="en-US" w:eastAsia="zh-CN"/>
                                    </w:rPr>
                                  </w:pPr>
                                  <w:r w:rsidRPr="004B1191">
                                    <w:rPr>
                                      <w:sz w:val="16"/>
                                      <w:lang w:val="en-US" w:eastAsia="zh-CN"/>
                                    </w:rPr>
                                    <w:t>[Yes]</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53A9DEFC" w14:textId="77777777" w:rsidR="004B1191" w:rsidRPr="004B1191" w:rsidRDefault="004B1191" w:rsidP="004B1191">
                                  <w:pPr>
                                    <w:rPr>
                                      <w:sz w:val="16"/>
                                      <w:lang w:val="en-US" w:eastAsia="zh-CN"/>
                                    </w:rPr>
                                  </w:pPr>
                                  <w:r w:rsidRPr="004B1191">
                                    <w:rPr>
                                      <w:sz w:val="16"/>
                                      <w:lang w:val="en-US" w:eastAsia="zh-CN"/>
                                    </w:rPr>
                                    <w:t>[Yes]</w:t>
                                  </w:r>
                                </w:p>
                              </w:tc>
                            </w:tr>
                          </w:tbl>
                          <w:p w14:paraId="52E62573" w14:textId="77777777" w:rsidR="004B1191" w:rsidRPr="004B1191" w:rsidRDefault="004B1191" w:rsidP="003C35D6">
                            <w:pPr>
                              <w:rPr>
                                <w:rFonts w:eastAsia="Malgun Gothic"/>
                                <w:lang w:val="en-US"/>
                              </w:rPr>
                            </w:pPr>
                          </w:p>
                          <w:p w14:paraId="19220F60" w14:textId="77777777" w:rsidR="00647856" w:rsidRPr="003C35D6" w:rsidRDefault="00120CBF" w:rsidP="003C35D6">
                            <w:pPr>
                              <w:numPr>
                                <w:ilvl w:val="0"/>
                                <w:numId w:val="42"/>
                              </w:numPr>
                              <w:rPr>
                                <w:lang w:val="en-US"/>
                              </w:rPr>
                            </w:pPr>
                            <w:r w:rsidRPr="003C35D6">
                              <w:rPr>
                                <w:lang w:val="en-US"/>
                              </w:rPr>
                              <w:t>Which TPMI index per test AoA shall be sent by TE is FFS</w:t>
                            </w:r>
                          </w:p>
                          <w:p w14:paraId="4AB491BE" w14:textId="77777777" w:rsidR="00647856" w:rsidRPr="003C35D6" w:rsidRDefault="00120CBF" w:rsidP="003C35D6">
                            <w:pPr>
                              <w:numPr>
                                <w:ilvl w:val="1"/>
                                <w:numId w:val="42"/>
                              </w:numPr>
                              <w:rPr>
                                <w:lang w:val="en-US"/>
                              </w:rPr>
                            </w:pPr>
                            <w:r w:rsidRPr="003C35D6">
                              <w:rPr>
                                <w:lang w:val="en-US"/>
                              </w:rPr>
                              <w:t xml:space="preserve">Option1: Fixed TPMI index </w:t>
                            </w:r>
                          </w:p>
                          <w:p w14:paraId="0C4804E3" w14:textId="77777777" w:rsidR="00647856" w:rsidRPr="003C35D6" w:rsidRDefault="00120CBF" w:rsidP="003C35D6">
                            <w:pPr>
                              <w:numPr>
                                <w:ilvl w:val="1"/>
                                <w:numId w:val="42"/>
                              </w:numPr>
                              <w:rPr>
                                <w:lang w:val="en-US"/>
                              </w:rPr>
                            </w:pPr>
                            <w:r w:rsidRPr="003C35D6">
                              <w:rPr>
                                <w:lang w:val="en-US"/>
                              </w:rPr>
                              <w:t>Option2: Optimal TPMI index</w:t>
                            </w:r>
                            <w:r w:rsidRPr="003C35D6">
                              <w:t xml:space="preserve"> </w:t>
                            </w:r>
                          </w:p>
                          <w:p w14:paraId="41F02A4B" w14:textId="77777777" w:rsidR="00647856" w:rsidRPr="003C35D6" w:rsidRDefault="00120CBF" w:rsidP="003C35D6">
                            <w:pPr>
                              <w:numPr>
                                <w:ilvl w:val="2"/>
                                <w:numId w:val="42"/>
                              </w:numPr>
                              <w:rPr>
                                <w:lang w:val="en-US"/>
                              </w:rPr>
                            </w:pPr>
                            <w:r w:rsidRPr="003C35D6">
                              <w:rPr>
                                <w:lang w:val="en-US"/>
                              </w:rPr>
                              <w:t>Option2-A: TE to configure the UE with SRS resources at each grid point</w:t>
                            </w:r>
                          </w:p>
                          <w:p w14:paraId="35935112" w14:textId="77777777" w:rsidR="00647856" w:rsidRPr="003C35D6" w:rsidRDefault="00120CBF" w:rsidP="003C35D6">
                            <w:pPr>
                              <w:numPr>
                                <w:ilvl w:val="2"/>
                                <w:numId w:val="42"/>
                              </w:numPr>
                              <w:rPr>
                                <w:lang w:val="en-US"/>
                              </w:rPr>
                            </w:pPr>
                            <w:r w:rsidRPr="003C35D6">
                              <w:rPr>
                                <w:lang w:val="en-US"/>
                              </w:rPr>
                              <w:t>Option2-B: TE simply try out all TPMIs and choose best one</w:t>
                            </w:r>
                          </w:p>
                          <w:p w14:paraId="6F99E080" w14:textId="77777777" w:rsidR="00647856" w:rsidRPr="003C35D6" w:rsidRDefault="00120CBF" w:rsidP="003C35D6">
                            <w:pPr>
                              <w:numPr>
                                <w:ilvl w:val="1"/>
                                <w:numId w:val="42"/>
                              </w:numPr>
                              <w:rPr>
                                <w:lang w:val="en-US"/>
                              </w:rPr>
                            </w:pPr>
                            <w:r w:rsidRPr="003C35D6">
                              <w:rPr>
                                <w:lang w:val="en-US"/>
                              </w:rPr>
                              <w:t>UE vendors are encouraged to study the UE EIRP performance delta between Option1 and Option2</w:t>
                            </w:r>
                          </w:p>
                          <w:p w14:paraId="5AA962A2" w14:textId="283FF53E" w:rsidR="009925C5" w:rsidRPr="005926BB" w:rsidRDefault="00120CBF" w:rsidP="00B75315">
                            <w:pPr>
                              <w:numPr>
                                <w:ilvl w:val="1"/>
                                <w:numId w:val="42"/>
                              </w:numPr>
                              <w:rPr>
                                <w:lang w:val="en-US"/>
                              </w:rPr>
                            </w:pPr>
                            <w:r w:rsidRPr="005926BB">
                              <w:rPr>
                                <w:lang w:val="en-US"/>
                              </w:rPr>
                              <w:t>TE vendors are encouraged to study the feasibility/pros/cons of Option2-A/B compared to Option1</w:t>
                            </w:r>
                          </w:p>
                        </w:txbxContent>
                      </wps:txbx>
                      <wps:bodyPr rot="0" vert="horz" wrap="square" lIns="91440" tIns="45720" rIns="91440" bIns="45720" anchor="t" anchorCtr="0">
                        <a:noAutofit/>
                      </wps:bodyPr>
                    </wps:wsp>
                  </a:graphicData>
                </a:graphic>
              </wp:inline>
            </w:drawing>
          </mc:Choice>
          <mc:Fallback>
            <w:pict>
              <v:shapetype w14:anchorId="6F6BE04C" id="_x0000_t202" coordsize="21600,21600" o:spt="202" path="m,l,21600r21600,l21600,xe">
                <v:stroke joinstyle="miter"/>
                <v:path gradientshapeok="t" o:connecttype="rect"/>
              </v:shapetype>
              <v:shape id="文本框 3" o:spid="_x0000_s1026" type="#_x0000_t202" style="width:475.4pt;height:39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">
                <v:textbox>
                  <w:txbxContent>
                    <w:p w14:paraId="2DAA4C58" w14:textId="77777777" w:rsidR="00647856" w:rsidRPr="003C35D6" w:rsidRDefault="00120CBF" w:rsidP="003C35D6">
                      <w:pPr>
                        <w:numPr>
                          <w:ilvl w:val="0"/>
                          <w:numId w:val="42"/>
                        </w:numPr>
                        <w:rPr>
                          <w:lang w:val="en-US"/>
                        </w:rPr>
                      </w:pPr>
                      <w:r w:rsidRPr="003C35D6">
                        <w:t>Detailed TPMI method enhancement coverage is FFS</w:t>
                      </w:r>
                    </w:p>
                    <w:p w14:paraId="793FA175" w14:textId="77777777" w:rsidR="00647856" w:rsidRDefault="00120CBF" w:rsidP="003C35D6">
                      <w:pPr>
                        <w:numPr>
                          <w:ilvl w:val="1"/>
                          <w:numId w:val="42"/>
                        </w:numPr>
                        <w:rPr>
                          <w:lang w:val="en-US"/>
                        </w:rPr>
                      </w:pPr>
                      <w:r w:rsidRPr="003C35D6">
                        <w:rPr>
                          <w:lang w:val="en-US"/>
                        </w:rPr>
                        <w:t>if TPMI method is applicable for clause 6.2 of TS38.101-2, then 2 port SRS (</w:t>
                      </w:r>
                      <w:r w:rsidRPr="003C35D6">
                        <w:rPr>
                          <w:i/>
                          <w:iCs/>
                          <w:lang w:val="en-US"/>
                        </w:rPr>
                        <w:t>nrofSRS-Ports</w:t>
                      </w:r>
                      <w:r w:rsidRPr="003C35D6">
                        <w:rPr>
                          <w:lang w:val="en-US"/>
                        </w:rPr>
                        <w:t xml:space="preserve"> = 2) shall be configured</w:t>
                      </w:r>
                    </w:p>
                    <w:tbl>
                      <w:tblPr>
                        <w:tblW w:w="9204" w:type="dxa"/>
                        <w:tblCellMar>
                          <w:left w:w="0" w:type="dxa"/>
                          <w:right w:w="0" w:type="dxa"/>
                        </w:tblCellMar>
                        <w:tblLook w:val="0420" w:firstRow="1" w:lastRow="0" w:firstColumn="0" w:lastColumn="0" w:noHBand="0" w:noVBand="1"/>
                      </w:tblPr>
                      <w:tblGrid>
                        <w:gridCol w:w="3959"/>
                        <w:gridCol w:w="2552"/>
                        <w:gridCol w:w="2693"/>
                      </w:tblGrid>
                      <w:tr w:rsidR="004B1191" w:rsidRPr="004B1191" w14:paraId="2A296660" w14:textId="77777777" w:rsidTr="00511340">
                        <w:trPr>
                          <w:trHeight w:val="464"/>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662EC84F" w14:textId="77777777" w:rsidR="004B1191" w:rsidRPr="004B1191" w:rsidRDefault="004B1191" w:rsidP="004B1191">
                            <w:pPr>
                              <w:rPr>
                                <w:sz w:val="16"/>
                                <w:lang w:val="en-US" w:eastAsia="zh-CN"/>
                              </w:rPr>
                            </w:pPr>
                            <w:r w:rsidRPr="004B1191">
                              <w:rPr>
                                <w:sz w:val="16"/>
                                <w:lang w:val="en-US" w:eastAsia="zh-CN"/>
                              </w:rPr>
                              <w:t xml:space="preserve">TPMI method </w:t>
                            </w:r>
                            <w:r w:rsidRPr="004B1191">
                              <w:rPr>
                                <w:sz w:val="16"/>
                                <w:lang w:val="en-US" w:eastAsia="zh-CN"/>
                              </w:rPr>
                              <w:br/>
                              <w:t>enhancement coverage</w:t>
                            </w:r>
                          </w:p>
                        </w:tc>
                        <w:tc>
                          <w:tcPr>
                            <w:tcW w:w="2552"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2BC76833" w14:textId="77777777" w:rsidR="004B1191" w:rsidRPr="004B1191" w:rsidRDefault="004B1191" w:rsidP="004B1191">
                            <w:pPr>
                              <w:rPr>
                                <w:sz w:val="16"/>
                                <w:lang w:val="en-US" w:eastAsia="zh-CN"/>
                              </w:rPr>
                            </w:pPr>
                            <w:r w:rsidRPr="004B1191">
                              <w:rPr>
                                <w:sz w:val="16"/>
                                <w:lang w:val="en-US" w:eastAsia="zh-CN"/>
                              </w:rPr>
                              <w:t>clause 6.2 of TS38.101-2</w:t>
                            </w:r>
                            <w:r w:rsidRPr="004B1191">
                              <w:rPr>
                                <w:sz w:val="16"/>
                                <w:lang w:val="en-US" w:eastAsia="zh-CN"/>
                              </w:rPr>
                              <w:br/>
                              <w:t>(</w:t>
                            </w:r>
                            <w:r w:rsidRPr="004B1191">
                              <w:rPr>
                                <w:sz w:val="16"/>
                                <w:lang w:eastAsia="zh-CN"/>
                              </w:rPr>
                              <w:t>Transmitter power</w:t>
                            </w:r>
                            <w:r w:rsidRPr="004B1191">
                              <w:rPr>
                                <w:sz w:val="16"/>
                                <w:lang w:val="en-US" w:eastAsia="zh-CN"/>
                              </w:rPr>
                              <w:t>)</w:t>
                            </w:r>
                          </w:p>
                        </w:tc>
                        <w:tc>
                          <w:tcPr>
                            <w:tcW w:w="2693"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vAlign w:val="center"/>
                            <w:hideMark/>
                          </w:tcPr>
                          <w:p w14:paraId="1BF53CC7" w14:textId="77777777" w:rsidR="004B1191" w:rsidRPr="004B1191" w:rsidRDefault="004B1191" w:rsidP="004B1191">
                            <w:pPr>
                              <w:rPr>
                                <w:sz w:val="16"/>
                                <w:lang w:val="en-US" w:eastAsia="zh-CN"/>
                              </w:rPr>
                            </w:pPr>
                            <w:r w:rsidRPr="004B1191">
                              <w:rPr>
                                <w:sz w:val="16"/>
                                <w:lang w:val="en-US" w:eastAsia="zh-CN"/>
                              </w:rPr>
                              <w:t>Clause 6.1, 6.3 to 6.6 of TS38.101-2</w:t>
                            </w:r>
                            <w:r w:rsidRPr="004B1191">
                              <w:rPr>
                                <w:sz w:val="16"/>
                                <w:lang w:val="en-US" w:eastAsia="zh-CN"/>
                              </w:rPr>
                              <w:br/>
                              <w:t xml:space="preserve">(other </w:t>
                            </w:r>
                            <w:r w:rsidRPr="004B1191">
                              <w:rPr>
                                <w:sz w:val="16"/>
                                <w:lang w:eastAsia="zh-CN"/>
                              </w:rPr>
                              <w:t>Transmitter characteristics</w:t>
                            </w:r>
                            <w:r w:rsidRPr="004B1191">
                              <w:rPr>
                                <w:sz w:val="16"/>
                                <w:lang w:val="en-US" w:eastAsia="zh-CN"/>
                              </w:rPr>
                              <w:t>)</w:t>
                            </w:r>
                          </w:p>
                        </w:tc>
                      </w:tr>
                      <w:tr w:rsidR="004B1191" w:rsidRPr="004B1191" w14:paraId="5DDDAE01" w14:textId="77777777" w:rsidTr="00511340">
                        <w:trPr>
                          <w:trHeight w:val="265"/>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114940AD" w14:textId="77777777" w:rsidR="004B1191" w:rsidRPr="004B1191" w:rsidRDefault="004B1191" w:rsidP="004B1191">
                            <w:pPr>
                              <w:rPr>
                                <w:sz w:val="16"/>
                                <w:lang w:val="en-US" w:eastAsia="zh-CN"/>
                              </w:rPr>
                            </w:pPr>
                            <w:r w:rsidRPr="004B1191">
                              <w:rPr>
                                <w:sz w:val="16"/>
                                <w:lang w:val="en-US" w:eastAsia="zh-CN"/>
                              </w:rPr>
                              <w:t>Rel-15 nonCoherent UEs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4242F17B" w14:textId="77777777" w:rsidR="004B1191" w:rsidRPr="004B1191" w:rsidRDefault="004B1191" w:rsidP="004B1191">
                            <w:pPr>
                              <w:rPr>
                                <w:sz w:val="16"/>
                                <w:lang w:val="en-US" w:eastAsia="zh-CN"/>
                              </w:rPr>
                            </w:pPr>
                            <w:r w:rsidRPr="004B1191">
                              <w:rPr>
                                <w:sz w:val="16"/>
                                <w:lang w:val="en-US" w:eastAsia="zh-CN"/>
                              </w:rPr>
                              <w:t>No</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1D36E436" w14:textId="77777777" w:rsidR="004B1191" w:rsidRPr="004B1191" w:rsidRDefault="004B1191" w:rsidP="004B1191">
                            <w:pPr>
                              <w:rPr>
                                <w:sz w:val="16"/>
                                <w:lang w:val="en-US" w:eastAsia="zh-CN"/>
                              </w:rPr>
                            </w:pPr>
                            <w:r w:rsidRPr="004B1191">
                              <w:rPr>
                                <w:sz w:val="16"/>
                                <w:lang w:val="en-US" w:eastAsia="zh-CN"/>
                              </w:rPr>
                              <w:t>No</w:t>
                            </w:r>
                          </w:p>
                        </w:tc>
                      </w:tr>
                      <w:tr w:rsidR="004B1191" w:rsidRPr="004B1191" w14:paraId="434D43B9" w14:textId="77777777" w:rsidTr="00511340">
                        <w:trPr>
                          <w:trHeight w:val="265"/>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1C6933A8" w14:textId="77777777" w:rsidR="004B1191" w:rsidRPr="004B1191" w:rsidRDefault="004B1191" w:rsidP="004B1191">
                            <w:pPr>
                              <w:rPr>
                                <w:sz w:val="16"/>
                                <w:lang w:val="en-US" w:eastAsia="zh-CN"/>
                              </w:rPr>
                            </w:pPr>
                            <w:r w:rsidRPr="004B1191">
                              <w:rPr>
                                <w:sz w:val="16"/>
                                <w:lang w:val="en-US" w:eastAsia="zh-CN"/>
                              </w:rPr>
                              <w:t>Rel-15 coherent UEs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0AEF7EF7" w14:textId="77777777" w:rsidR="004B1191" w:rsidRPr="004B1191" w:rsidRDefault="004B1191" w:rsidP="004B1191">
                            <w:pPr>
                              <w:rPr>
                                <w:sz w:val="16"/>
                                <w:lang w:val="en-US" w:eastAsia="zh-CN"/>
                              </w:rPr>
                            </w:pPr>
                            <w:r w:rsidRPr="004B1191">
                              <w:rPr>
                                <w:sz w:val="16"/>
                                <w:lang w:val="en-US" w:eastAsia="zh-CN"/>
                              </w:rPr>
                              <w:t>[Yes]</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20E66F6C" w14:textId="77777777" w:rsidR="004B1191" w:rsidRPr="004B1191" w:rsidRDefault="004B1191" w:rsidP="004B1191">
                            <w:pPr>
                              <w:rPr>
                                <w:sz w:val="16"/>
                                <w:lang w:val="en-US" w:eastAsia="zh-CN"/>
                              </w:rPr>
                            </w:pPr>
                            <w:r w:rsidRPr="004B1191">
                              <w:rPr>
                                <w:sz w:val="16"/>
                                <w:lang w:val="en-US" w:eastAsia="zh-CN"/>
                              </w:rPr>
                              <w:t>[Yes]</w:t>
                            </w:r>
                          </w:p>
                        </w:tc>
                      </w:tr>
                      <w:tr w:rsidR="004B1191" w:rsidRPr="004B1191" w14:paraId="1C36B44A" w14:textId="77777777" w:rsidTr="00511340">
                        <w:trPr>
                          <w:trHeight w:val="265"/>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062BE09C" w14:textId="77777777" w:rsidR="004B1191" w:rsidRPr="004B1191" w:rsidRDefault="004B1191" w:rsidP="004B1191">
                            <w:pPr>
                              <w:rPr>
                                <w:sz w:val="16"/>
                                <w:lang w:val="en-US" w:eastAsia="zh-CN"/>
                              </w:rPr>
                            </w:pPr>
                            <w:r w:rsidRPr="004B1191">
                              <w:rPr>
                                <w:sz w:val="16"/>
                                <w:lang w:val="en-US" w:eastAsia="zh-CN"/>
                              </w:rPr>
                              <w:t>Rel-16 nonCoherent UEs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5C547053" w14:textId="77777777" w:rsidR="004B1191" w:rsidRPr="004B1191" w:rsidRDefault="004B1191" w:rsidP="004B1191">
                            <w:pPr>
                              <w:rPr>
                                <w:sz w:val="16"/>
                                <w:lang w:val="en-US" w:eastAsia="zh-CN"/>
                              </w:rPr>
                            </w:pPr>
                            <w:r w:rsidRPr="004B1191">
                              <w:rPr>
                                <w:sz w:val="16"/>
                                <w:lang w:val="en-US" w:eastAsia="zh-CN"/>
                              </w:rPr>
                              <w:t>No</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2E660E13" w14:textId="77777777" w:rsidR="004B1191" w:rsidRPr="004B1191" w:rsidRDefault="004B1191" w:rsidP="004B1191">
                            <w:pPr>
                              <w:rPr>
                                <w:sz w:val="16"/>
                                <w:lang w:val="en-US" w:eastAsia="zh-CN"/>
                              </w:rPr>
                            </w:pPr>
                            <w:r w:rsidRPr="004B1191">
                              <w:rPr>
                                <w:sz w:val="16"/>
                                <w:lang w:val="en-US" w:eastAsia="zh-CN"/>
                              </w:rPr>
                              <w:t>No</w:t>
                            </w:r>
                          </w:p>
                        </w:tc>
                      </w:tr>
                      <w:tr w:rsidR="004B1191" w:rsidRPr="004B1191" w14:paraId="690CF814" w14:textId="77777777" w:rsidTr="00511340">
                        <w:trPr>
                          <w:trHeight w:val="265"/>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79AF35FF" w14:textId="77777777" w:rsidR="004B1191" w:rsidRPr="004B1191" w:rsidRDefault="004B1191" w:rsidP="004B1191">
                            <w:pPr>
                              <w:rPr>
                                <w:sz w:val="16"/>
                                <w:lang w:val="en-US" w:eastAsia="zh-CN"/>
                              </w:rPr>
                            </w:pPr>
                            <w:r w:rsidRPr="004B1191">
                              <w:rPr>
                                <w:sz w:val="16"/>
                                <w:lang w:val="en-US" w:eastAsia="zh-CN"/>
                              </w:rPr>
                              <w:t>Rel-16 coherent UEs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51B783E7" w14:textId="77777777" w:rsidR="004B1191" w:rsidRPr="004B1191" w:rsidRDefault="004B1191" w:rsidP="004B1191">
                            <w:pPr>
                              <w:rPr>
                                <w:sz w:val="16"/>
                                <w:lang w:val="en-US" w:eastAsia="zh-CN"/>
                              </w:rPr>
                            </w:pPr>
                            <w:r w:rsidRPr="004B1191">
                              <w:rPr>
                                <w:sz w:val="16"/>
                                <w:lang w:val="en-US" w:eastAsia="zh-CN"/>
                              </w:rPr>
                              <w:t>[Yes]</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084C0FF6" w14:textId="77777777" w:rsidR="004B1191" w:rsidRPr="004B1191" w:rsidRDefault="004B1191" w:rsidP="004B1191">
                            <w:pPr>
                              <w:rPr>
                                <w:sz w:val="16"/>
                                <w:lang w:val="en-US" w:eastAsia="zh-CN"/>
                              </w:rPr>
                            </w:pPr>
                            <w:r w:rsidRPr="004B1191">
                              <w:rPr>
                                <w:sz w:val="16"/>
                                <w:lang w:val="en-US" w:eastAsia="zh-CN"/>
                              </w:rPr>
                              <w:t>[Yes]</w:t>
                            </w:r>
                          </w:p>
                        </w:tc>
                      </w:tr>
                      <w:tr w:rsidR="004B1191" w:rsidRPr="004B1191" w14:paraId="36DC451C" w14:textId="77777777" w:rsidTr="004B1191">
                        <w:trPr>
                          <w:trHeight w:val="204"/>
                        </w:trPr>
                        <w:tc>
                          <w:tcPr>
                            <w:tcW w:w="39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3195FB72" w14:textId="77777777" w:rsidR="004B1191" w:rsidRPr="004B1191" w:rsidRDefault="004B1191" w:rsidP="004B1191">
                            <w:pPr>
                              <w:rPr>
                                <w:sz w:val="16"/>
                                <w:lang w:val="en-US" w:eastAsia="zh-CN"/>
                              </w:rPr>
                            </w:pPr>
                            <w:r w:rsidRPr="004B1191">
                              <w:rPr>
                                <w:sz w:val="16"/>
                                <w:lang w:val="en-US" w:eastAsia="zh-CN"/>
                              </w:rPr>
                              <w:t>Rel-16 nonCoherent UEs which support uplink full power transmission</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61DC18A2" w14:textId="77777777" w:rsidR="004B1191" w:rsidRPr="004B1191" w:rsidRDefault="004B1191" w:rsidP="004B1191">
                            <w:pPr>
                              <w:rPr>
                                <w:sz w:val="16"/>
                                <w:lang w:val="en-US" w:eastAsia="zh-CN"/>
                              </w:rPr>
                            </w:pPr>
                            <w:r w:rsidRPr="004B1191">
                              <w:rPr>
                                <w:sz w:val="16"/>
                                <w:lang w:val="en-US" w:eastAsia="zh-CN"/>
                              </w:rPr>
                              <w:t>[Yes]</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14:paraId="53A9DEFC" w14:textId="77777777" w:rsidR="004B1191" w:rsidRPr="004B1191" w:rsidRDefault="004B1191" w:rsidP="004B1191">
                            <w:pPr>
                              <w:rPr>
                                <w:sz w:val="16"/>
                                <w:lang w:val="en-US" w:eastAsia="zh-CN"/>
                              </w:rPr>
                            </w:pPr>
                            <w:r w:rsidRPr="004B1191">
                              <w:rPr>
                                <w:sz w:val="16"/>
                                <w:lang w:val="en-US" w:eastAsia="zh-CN"/>
                              </w:rPr>
                              <w:t>[Yes]</w:t>
                            </w:r>
                          </w:p>
                        </w:tc>
                      </w:tr>
                    </w:tbl>
                    <w:p w14:paraId="52E62573" w14:textId="77777777" w:rsidR="004B1191" w:rsidRPr="004B1191" w:rsidRDefault="004B1191" w:rsidP="003C35D6">
                      <w:pPr>
                        <w:rPr>
                          <w:rFonts w:eastAsia="Malgun Gothic"/>
                          <w:lang w:val="en-US"/>
                        </w:rPr>
                      </w:pPr>
                    </w:p>
                    <w:p w14:paraId="19220F60" w14:textId="77777777" w:rsidR="00647856" w:rsidRPr="003C35D6" w:rsidRDefault="00120CBF" w:rsidP="003C35D6">
                      <w:pPr>
                        <w:numPr>
                          <w:ilvl w:val="0"/>
                          <w:numId w:val="42"/>
                        </w:numPr>
                        <w:rPr>
                          <w:lang w:val="en-US"/>
                        </w:rPr>
                      </w:pPr>
                      <w:r w:rsidRPr="003C35D6">
                        <w:rPr>
                          <w:lang w:val="en-US"/>
                        </w:rPr>
                        <w:t>Which TPMI index per test AoA shall be sent by TE is FFS</w:t>
                      </w:r>
                    </w:p>
                    <w:p w14:paraId="4AB491BE" w14:textId="77777777" w:rsidR="00647856" w:rsidRPr="003C35D6" w:rsidRDefault="00120CBF" w:rsidP="003C35D6">
                      <w:pPr>
                        <w:numPr>
                          <w:ilvl w:val="1"/>
                          <w:numId w:val="42"/>
                        </w:numPr>
                        <w:rPr>
                          <w:lang w:val="en-US"/>
                        </w:rPr>
                      </w:pPr>
                      <w:r w:rsidRPr="003C35D6">
                        <w:rPr>
                          <w:lang w:val="en-US"/>
                        </w:rPr>
                        <w:t xml:space="preserve">Option1: Fixed TPMI index </w:t>
                      </w:r>
                    </w:p>
                    <w:p w14:paraId="0C4804E3" w14:textId="77777777" w:rsidR="00647856" w:rsidRPr="003C35D6" w:rsidRDefault="00120CBF" w:rsidP="003C35D6">
                      <w:pPr>
                        <w:numPr>
                          <w:ilvl w:val="1"/>
                          <w:numId w:val="42"/>
                        </w:numPr>
                        <w:rPr>
                          <w:lang w:val="en-US"/>
                        </w:rPr>
                      </w:pPr>
                      <w:r w:rsidRPr="003C35D6">
                        <w:rPr>
                          <w:lang w:val="en-US"/>
                        </w:rPr>
                        <w:t>Option2: Optimal TPMI index</w:t>
                      </w:r>
                      <w:r w:rsidRPr="003C35D6">
                        <w:t xml:space="preserve"> </w:t>
                      </w:r>
                    </w:p>
                    <w:p w14:paraId="41F02A4B" w14:textId="77777777" w:rsidR="00647856" w:rsidRPr="003C35D6" w:rsidRDefault="00120CBF" w:rsidP="003C35D6">
                      <w:pPr>
                        <w:numPr>
                          <w:ilvl w:val="2"/>
                          <w:numId w:val="42"/>
                        </w:numPr>
                        <w:rPr>
                          <w:lang w:val="en-US"/>
                        </w:rPr>
                      </w:pPr>
                      <w:r w:rsidRPr="003C35D6">
                        <w:rPr>
                          <w:lang w:val="en-US"/>
                        </w:rPr>
                        <w:t>Option2-A: TE to configure the UE with SRS resources at each grid point</w:t>
                      </w:r>
                    </w:p>
                    <w:p w14:paraId="35935112" w14:textId="77777777" w:rsidR="00647856" w:rsidRPr="003C35D6" w:rsidRDefault="00120CBF" w:rsidP="003C35D6">
                      <w:pPr>
                        <w:numPr>
                          <w:ilvl w:val="2"/>
                          <w:numId w:val="42"/>
                        </w:numPr>
                        <w:rPr>
                          <w:lang w:val="en-US"/>
                        </w:rPr>
                      </w:pPr>
                      <w:r w:rsidRPr="003C35D6">
                        <w:rPr>
                          <w:lang w:val="en-US"/>
                        </w:rPr>
                        <w:t>Option2-B: TE simply try out all TPMIs and choose best one</w:t>
                      </w:r>
                    </w:p>
                    <w:p w14:paraId="6F99E080" w14:textId="77777777" w:rsidR="00647856" w:rsidRPr="003C35D6" w:rsidRDefault="00120CBF" w:rsidP="003C35D6">
                      <w:pPr>
                        <w:numPr>
                          <w:ilvl w:val="1"/>
                          <w:numId w:val="42"/>
                        </w:numPr>
                        <w:rPr>
                          <w:lang w:val="en-US"/>
                        </w:rPr>
                      </w:pPr>
                      <w:r w:rsidRPr="003C35D6">
                        <w:rPr>
                          <w:lang w:val="en-US"/>
                        </w:rPr>
                        <w:t>UE vendors are encouraged to study the UE EIRP performance delta between Option1 and Option2</w:t>
                      </w:r>
                    </w:p>
                    <w:p w14:paraId="5AA962A2" w14:textId="283FF53E" w:rsidR="009925C5" w:rsidRPr="005926BB" w:rsidRDefault="00120CBF" w:rsidP="00B75315">
                      <w:pPr>
                        <w:numPr>
                          <w:ilvl w:val="1"/>
                          <w:numId w:val="42"/>
                        </w:numPr>
                        <w:rPr>
                          <w:lang w:val="en-US"/>
                        </w:rPr>
                      </w:pPr>
                      <w:r w:rsidRPr="005926BB">
                        <w:rPr>
                          <w:lang w:val="en-US"/>
                        </w:rPr>
                        <w:t>TE vendors are encouraged to study the feasibility/pros/cons of Option2-A/B compared to Option1</w:t>
                      </w:r>
                    </w:p>
                  </w:txbxContent>
                </v:textbox>
                <w10:anchorlock/>
              </v:shape>
            </w:pict>
          </mc:Fallback>
        </mc:AlternateContent>
      </w:r>
    </w:p>
    <w:p w14:paraId="0723CC00" w14:textId="23A69017" w:rsidR="00FB2CAD" w:rsidRPr="00916F8E" w:rsidRDefault="005926BB" w:rsidP="008F13B3">
      <w:pPr>
        <w:rPr>
          <w:lang w:eastAsia="zh-CN"/>
        </w:rPr>
      </w:pPr>
      <w:r>
        <w:rPr>
          <w:lang w:eastAsia="zh-CN"/>
        </w:rPr>
        <w:t>In this contribution, we share our view on TPMI method applicable test cases and TPMI index configuration</w:t>
      </w:r>
      <w:r w:rsidR="00C06E6E">
        <w:rPr>
          <w:lang w:eastAsia="zh-CN"/>
        </w:rPr>
        <w:t>.</w:t>
      </w:r>
    </w:p>
    <w:p w14:paraId="65A85401" w14:textId="697A8A6E" w:rsidR="00962566" w:rsidRDefault="000A567D" w:rsidP="00E33B8C">
      <w:pPr>
        <w:pStyle w:val="1"/>
      </w:pPr>
      <w:r>
        <w:lastRenderedPageBreak/>
        <w:t xml:space="preserve">2. </w:t>
      </w:r>
      <w:r>
        <w:tab/>
      </w:r>
      <w:r w:rsidR="002A1C01">
        <w:t>Discussion</w:t>
      </w:r>
    </w:p>
    <w:p w14:paraId="32C553EE" w14:textId="1BD1F327" w:rsidR="001F7D2F" w:rsidRPr="007C4CA8" w:rsidRDefault="001F7D2F" w:rsidP="001F7D2F">
      <w:pPr>
        <w:pStyle w:val="2"/>
      </w:pPr>
      <w:r>
        <w:t>2.1</w:t>
      </w:r>
      <w:r>
        <w:tab/>
      </w:r>
      <w:r w:rsidR="00E518A7">
        <w:rPr>
          <w:lang w:eastAsia="zh-CN"/>
        </w:rPr>
        <w:t>TPMI method</w:t>
      </w:r>
      <w:r w:rsidR="005926BB">
        <w:rPr>
          <w:lang w:eastAsia="zh-CN"/>
        </w:rPr>
        <w:t xml:space="preserve"> applicable test cases</w:t>
      </w:r>
    </w:p>
    <w:p w14:paraId="6CD306BB" w14:textId="3D565572" w:rsidR="00C06E6E" w:rsidRDefault="00C06E6E" w:rsidP="00E07046">
      <w:r w:rsidRPr="00C06E6E">
        <w:t>TPMI side condition method is agreed as applicable method to enhance EIRP measurement for partial UEs</w:t>
      </w:r>
      <w:r>
        <w:t xml:space="preserve"> [2]:</w:t>
      </w:r>
    </w:p>
    <w:p w14:paraId="2313E0FC" w14:textId="77777777" w:rsidR="00130E91" w:rsidRPr="00C06E6E" w:rsidRDefault="0066390C" w:rsidP="00C06E6E">
      <w:pPr>
        <w:numPr>
          <w:ilvl w:val="0"/>
          <w:numId w:val="41"/>
        </w:numPr>
        <w:rPr>
          <w:lang w:val="en-US"/>
        </w:rPr>
      </w:pPr>
      <w:r w:rsidRPr="00C06E6E">
        <w:rPr>
          <w:lang w:val="en-US"/>
        </w:rPr>
        <w:t>Rel-15 coherent UEs</w:t>
      </w:r>
    </w:p>
    <w:p w14:paraId="4CAAD96B" w14:textId="77777777" w:rsidR="00130E91" w:rsidRPr="00C06E6E" w:rsidRDefault="0066390C" w:rsidP="00C06E6E">
      <w:pPr>
        <w:numPr>
          <w:ilvl w:val="0"/>
          <w:numId w:val="41"/>
        </w:numPr>
        <w:rPr>
          <w:lang w:val="en-US"/>
        </w:rPr>
      </w:pPr>
      <w:r w:rsidRPr="00C06E6E">
        <w:rPr>
          <w:lang w:val="en-US"/>
        </w:rPr>
        <w:t>Rel-16 coherent UEs</w:t>
      </w:r>
    </w:p>
    <w:p w14:paraId="5163CEB6" w14:textId="77777777" w:rsidR="00130E91" w:rsidRPr="00C06E6E" w:rsidRDefault="0066390C" w:rsidP="00C06E6E">
      <w:pPr>
        <w:numPr>
          <w:ilvl w:val="0"/>
          <w:numId w:val="41"/>
        </w:numPr>
        <w:rPr>
          <w:lang w:val="en-US"/>
        </w:rPr>
      </w:pPr>
      <w:r w:rsidRPr="00C06E6E">
        <w:rPr>
          <w:lang w:val="en-US"/>
        </w:rPr>
        <w:t>Rel-16 nonCoherent UEs which support uplink full power transmission</w:t>
      </w:r>
    </w:p>
    <w:p w14:paraId="5731A8C0" w14:textId="6C16409C" w:rsidR="00E07046" w:rsidRDefault="00A915BD" w:rsidP="00E07046">
      <w:pPr>
        <w:rPr>
          <w:lang w:val="en-US"/>
        </w:rPr>
      </w:pPr>
      <w:r>
        <w:rPr>
          <w:lang w:val="en-US" w:eastAsia="zh-CN"/>
        </w:rPr>
        <w:t xml:space="preserve">Also, TPMI method is agreed applicable for </w:t>
      </w:r>
      <w:r w:rsidRPr="009925C5">
        <w:rPr>
          <w:lang w:val="en-US"/>
        </w:rPr>
        <w:t>1 layer transmission with 2 SRS ports configured</w:t>
      </w:r>
      <w:r>
        <w:rPr>
          <w:lang w:val="en-US"/>
        </w:rPr>
        <w:t xml:space="preserve">. </w:t>
      </w:r>
    </w:p>
    <w:p w14:paraId="2CB997F6" w14:textId="42661615" w:rsidR="00A915BD" w:rsidRDefault="00FB4B36" w:rsidP="00E07046">
      <w:pPr>
        <w:rPr>
          <w:lang w:val="en-US"/>
        </w:rPr>
      </w:pPr>
      <w:r>
        <w:rPr>
          <w:lang w:val="en-US"/>
        </w:rPr>
        <w:t>However, it is still not clear about the applicable test cases</w:t>
      </w:r>
      <w:r w:rsidR="00FF72CD">
        <w:rPr>
          <w:lang w:val="en-US"/>
        </w:rPr>
        <w:t xml:space="preserve"> in TS38.101-2</w:t>
      </w:r>
      <w:r>
        <w:rPr>
          <w:lang w:val="en-US"/>
        </w:rPr>
        <w:t>.</w:t>
      </w:r>
      <w:r w:rsidR="00FF72CD">
        <w:rPr>
          <w:lang w:val="en-US"/>
        </w:rPr>
        <w:t xml:space="preserve"> For full power transmission, requirements are specified in clause 6.2D for UL MIMO for 1 layer transmission with explicitly specified transmission scheme, DCI format and TPMI index. For maximum output power test cases in clause 6.2 of TS38.101-2, there is no clear definition about detailed transmission configuration.</w:t>
      </w:r>
    </w:p>
    <w:p w14:paraId="6169FE84" w14:textId="4CEB4BBA" w:rsidR="00FF72CD" w:rsidRDefault="00FF72CD" w:rsidP="00E07046">
      <w:pPr>
        <w:rPr>
          <w:lang w:val="en-US"/>
        </w:rPr>
      </w:pPr>
      <w:r>
        <w:rPr>
          <w:lang w:val="en-US"/>
        </w:rPr>
        <w:t xml:space="preserve">The TPMI method to enhance EIRP measurement is focusing on the 1 layer 2-port transmission. </w:t>
      </w:r>
      <w:r w:rsidR="00342C72">
        <w:rPr>
          <w:lang w:val="en-US"/>
        </w:rPr>
        <w:t>The main purpose is to reflect the polarization gain which was used for derivation of MOP requirement in clause 6.2. So for coherent UEs and nonCoherent UEs supporting full power transmission</w:t>
      </w:r>
      <w:r w:rsidR="00DA751F">
        <w:rPr>
          <w:lang w:val="en-US"/>
        </w:rPr>
        <w:t xml:space="preserve"> </w:t>
      </w:r>
      <w:r w:rsidR="00DA751F" w:rsidRPr="00DA751F">
        <w:rPr>
          <w:lang w:val="en-US"/>
        </w:rPr>
        <w:t>(mode-1, mode-full power)</w:t>
      </w:r>
      <w:r w:rsidR="00342C72">
        <w:rPr>
          <w:lang w:val="en-US"/>
        </w:rPr>
        <w:t>, 2TX TPMI shall be configured. But for nonCoherent UEs which do not support full power transmission</w:t>
      </w:r>
      <w:r w:rsidR="00DA751F">
        <w:rPr>
          <w:lang w:val="en-US"/>
        </w:rPr>
        <w:t xml:space="preserve"> </w:t>
      </w:r>
      <w:r w:rsidR="00DA751F" w:rsidRPr="00DA751F">
        <w:rPr>
          <w:lang w:val="en-US"/>
        </w:rPr>
        <w:t>(mode-1, mode-full power)</w:t>
      </w:r>
      <w:r w:rsidR="00342C72">
        <w:rPr>
          <w:lang w:val="en-US"/>
        </w:rPr>
        <w:t>, 2-port transmission shall be not configured.</w:t>
      </w:r>
    </w:p>
    <w:p w14:paraId="45F542A1" w14:textId="068B6760" w:rsidR="006B41F1" w:rsidRDefault="006B41F1" w:rsidP="006B41F1">
      <w:pPr>
        <w:spacing w:after="120"/>
        <w:ind w:left="1418" w:hanging="1418"/>
        <w:rPr>
          <w:b/>
          <w:bCs/>
        </w:rPr>
      </w:pPr>
      <w:r>
        <w:rPr>
          <w:b/>
          <w:bCs/>
        </w:rPr>
        <w:t>Proposal 1</w:t>
      </w:r>
      <w:r w:rsidRPr="00DF1B01">
        <w:rPr>
          <w:b/>
          <w:bCs/>
        </w:rPr>
        <w:t>:</w:t>
      </w:r>
      <w:r w:rsidRPr="00DF1B01">
        <w:rPr>
          <w:b/>
          <w:bCs/>
        </w:rPr>
        <w:tab/>
      </w:r>
      <w:r w:rsidRPr="006B41F1">
        <w:rPr>
          <w:b/>
          <w:bCs/>
        </w:rPr>
        <w:t xml:space="preserve">TPMI method is applicable for clause 6.2 of TS38.101-2 </w:t>
      </w:r>
      <w:r w:rsidR="00A25170">
        <w:rPr>
          <w:b/>
          <w:bCs/>
        </w:rPr>
        <w:t xml:space="preserve">and other transmitter test cases and 2TX TPMI shall be configured for </w:t>
      </w:r>
      <w:r w:rsidR="00A25170" w:rsidRPr="00A25170">
        <w:rPr>
          <w:b/>
          <w:bCs/>
        </w:rPr>
        <w:t>coherent UEs and nonCoherent UEs supporting full power transmission</w:t>
      </w:r>
      <w:r w:rsidR="00A25170">
        <w:rPr>
          <w:b/>
          <w:bCs/>
        </w:rPr>
        <w:t xml:space="preserve"> (mode-1, mode-full power). For </w:t>
      </w:r>
      <w:r w:rsidR="00A25170" w:rsidRPr="00A25170">
        <w:rPr>
          <w:b/>
          <w:bCs/>
        </w:rPr>
        <w:t>nonCoherent UEs which do not support full power transmission</w:t>
      </w:r>
      <w:r w:rsidR="00A25170">
        <w:rPr>
          <w:b/>
          <w:bCs/>
        </w:rPr>
        <w:t xml:space="preserve"> (mode-1, mode-full power)</w:t>
      </w:r>
      <w:r w:rsidR="00A25170" w:rsidRPr="00A25170">
        <w:rPr>
          <w:b/>
          <w:bCs/>
        </w:rPr>
        <w:t>, 2-port transmission shall be not configured.</w:t>
      </w:r>
    </w:p>
    <w:p w14:paraId="54251045" w14:textId="0A0A7255"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2.2</w:t>
      </w:r>
      <w:r>
        <w:tab/>
      </w:r>
      <w:r w:rsidR="005926BB">
        <w:t>TPMI index configuration</w:t>
      </w:r>
      <w:r w:rsidR="001F27BD">
        <w:tab/>
      </w:r>
    </w:p>
    <w:p w14:paraId="46EFC265" w14:textId="11E5C809" w:rsidR="00C21C52" w:rsidRDefault="00D462C9" w:rsidP="00C21C52">
      <w:pPr>
        <w:rPr>
          <w:lang w:eastAsia="zh-CN"/>
        </w:rPr>
      </w:pPr>
      <w:r>
        <w:rPr>
          <w:lang w:eastAsia="zh-CN"/>
        </w:rPr>
        <w:t>When 2-port transmission is configured for EIRP measurement</w:t>
      </w:r>
      <w:r w:rsidR="008C7F16">
        <w:rPr>
          <w:lang w:eastAsia="zh-CN"/>
        </w:rPr>
        <w:t xml:space="preserve"> for test cases in clause 6.2 of TS38.101-2</w:t>
      </w:r>
      <w:r>
        <w:rPr>
          <w:lang w:eastAsia="zh-CN"/>
        </w:rPr>
        <w:t>, a question is about which TPMI index shall be chosen from the following TPMI index</w:t>
      </w:r>
      <w:r w:rsidR="00DA751F">
        <w:rPr>
          <w:lang w:eastAsia="zh-CN"/>
        </w:rPr>
        <w:t>es</w:t>
      </w:r>
      <w:r>
        <w:rPr>
          <w:lang w:eastAsia="zh-CN"/>
        </w:rPr>
        <w:t xml:space="preserve"> </w:t>
      </w:r>
      <w:r w:rsidR="00DA751F">
        <w:rPr>
          <w:lang w:eastAsia="zh-CN"/>
        </w:rPr>
        <w:t>which stand for the pre-coding matrix for single-layer transmission using two antenna ports</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937"/>
        <w:gridCol w:w="987"/>
        <w:gridCol w:w="897"/>
        <w:gridCol w:w="1031"/>
        <w:gridCol w:w="903"/>
        <w:gridCol w:w="1041"/>
        <w:gridCol w:w="739"/>
        <w:gridCol w:w="972"/>
      </w:tblGrid>
      <w:tr w:rsidR="00D462C9" w14:paraId="25CEB3AD" w14:textId="77777777" w:rsidTr="00511340">
        <w:trPr>
          <w:jc w:val="center"/>
        </w:trPr>
        <w:tc>
          <w:tcPr>
            <w:tcW w:w="1229" w:type="dxa"/>
            <w:shd w:val="clear" w:color="auto" w:fill="auto"/>
          </w:tcPr>
          <w:p w14:paraId="0062EC98" w14:textId="77777777" w:rsidR="00D462C9" w:rsidRPr="005B61B2" w:rsidRDefault="00D462C9" w:rsidP="00511340">
            <w:pPr>
              <w:pStyle w:val="TAH"/>
              <w:rPr>
                <w:rFonts w:eastAsia="Batang"/>
              </w:rPr>
            </w:pPr>
            <w:r w:rsidRPr="005B61B2">
              <w:rPr>
                <w:rFonts w:eastAsia="Batang"/>
              </w:rPr>
              <w:t>TPMI index</w:t>
            </w:r>
          </w:p>
        </w:tc>
        <w:tc>
          <w:tcPr>
            <w:tcW w:w="7758" w:type="dxa"/>
            <w:gridSpan w:val="8"/>
            <w:shd w:val="clear" w:color="auto" w:fill="auto"/>
            <w:vAlign w:val="center"/>
          </w:tcPr>
          <w:p w14:paraId="6E1B3BB6" w14:textId="77777777" w:rsidR="00D462C9" w:rsidRPr="005B61B2" w:rsidRDefault="00D462C9" w:rsidP="00511340">
            <w:pPr>
              <w:pStyle w:val="TAH"/>
              <w:rPr>
                <w:rFonts w:eastAsia="Batang"/>
              </w:rPr>
            </w:pPr>
            <w:r w:rsidRPr="005B61B2">
              <w:rPr>
                <w:rFonts w:eastAsia="Batang"/>
              </w:rPr>
              <w:object w:dxaOrig="260" w:dyaOrig="240" w14:anchorId="34F03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3" ShapeID="_x0000_i1025" DrawAspect="Content" ObjectID="_1678882330" r:id="rId9"/>
              </w:object>
            </w:r>
            <w:r w:rsidRPr="005B61B2">
              <w:rPr>
                <w:rFonts w:eastAsia="Batang"/>
              </w:rPr>
              <w:br/>
              <w:t>(ordered from left to right in increasing order of TPMI index)</w:t>
            </w:r>
          </w:p>
        </w:tc>
      </w:tr>
      <w:tr w:rsidR="00D462C9" w14:paraId="6D994A5C" w14:textId="77777777" w:rsidTr="00511340">
        <w:trPr>
          <w:jc w:val="center"/>
        </w:trPr>
        <w:tc>
          <w:tcPr>
            <w:tcW w:w="1229" w:type="dxa"/>
            <w:shd w:val="clear" w:color="auto" w:fill="auto"/>
          </w:tcPr>
          <w:p w14:paraId="05CFADC5" w14:textId="77777777" w:rsidR="00D462C9" w:rsidRPr="005B61B2" w:rsidRDefault="00D462C9" w:rsidP="00511340">
            <w:pPr>
              <w:pStyle w:val="TAC"/>
              <w:rPr>
                <w:rFonts w:eastAsia="Batang"/>
              </w:rPr>
            </w:pPr>
            <w:r w:rsidRPr="005B61B2">
              <w:rPr>
                <w:rFonts w:eastAsia="Batang"/>
              </w:rPr>
              <w:t>0 – 5</w:t>
            </w:r>
          </w:p>
        </w:tc>
        <w:tc>
          <w:tcPr>
            <w:tcW w:w="876" w:type="dxa"/>
            <w:shd w:val="clear" w:color="auto" w:fill="auto"/>
          </w:tcPr>
          <w:p w14:paraId="0B4A21B5" w14:textId="77777777" w:rsidR="00D462C9" w:rsidRPr="00C04948" w:rsidRDefault="00D462C9" w:rsidP="00511340">
            <w:pPr>
              <w:pStyle w:val="TAC"/>
              <w:rPr>
                <w:rFonts w:eastAsia="Batang"/>
                <w:highlight w:val="yellow"/>
              </w:rPr>
            </w:pPr>
            <w:r w:rsidRPr="000571B2">
              <w:rPr>
                <w:rFonts w:eastAsia="Batang"/>
                <w:position w:val="-26"/>
              </w:rPr>
              <w:object w:dxaOrig="660" w:dyaOrig="620" w14:anchorId="7D729E06">
                <v:shape id="_x0000_i1026" type="#_x0000_t75" style="width:36pt;height:28.5pt" o:ole="">
                  <v:imagedata r:id="rId10" o:title=""/>
                </v:shape>
                <o:OLEObject Type="Embed" ProgID="Equation.3" ShapeID="_x0000_i1026" DrawAspect="Content" ObjectID="_1678882331" r:id="rId11"/>
              </w:object>
            </w:r>
          </w:p>
        </w:tc>
        <w:tc>
          <w:tcPr>
            <w:tcW w:w="999" w:type="dxa"/>
            <w:shd w:val="clear" w:color="auto" w:fill="auto"/>
          </w:tcPr>
          <w:p w14:paraId="35FBC6A4" w14:textId="77777777" w:rsidR="00D462C9" w:rsidRPr="000571B2" w:rsidRDefault="00D462C9" w:rsidP="00511340">
            <w:pPr>
              <w:pStyle w:val="TAC"/>
              <w:rPr>
                <w:rFonts w:eastAsia="Batang"/>
              </w:rPr>
            </w:pPr>
            <w:r w:rsidRPr="000571B2">
              <w:rPr>
                <w:rFonts w:eastAsia="Batang"/>
                <w:position w:val="-26"/>
              </w:rPr>
              <w:object w:dxaOrig="660" w:dyaOrig="620" w14:anchorId="3125560D">
                <v:shape id="_x0000_i1027" type="#_x0000_t75" style="width:36pt;height:28.5pt" o:ole="">
                  <v:imagedata r:id="rId12" o:title=""/>
                </v:shape>
                <o:OLEObject Type="Embed" ProgID="Equation.3" ShapeID="_x0000_i1027" DrawAspect="Content" ObjectID="_1678882332" r:id="rId13"/>
              </w:object>
            </w:r>
          </w:p>
        </w:tc>
        <w:tc>
          <w:tcPr>
            <w:tcW w:w="906" w:type="dxa"/>
            <w:shd w:val="clear" w:color="auto" w:fill="auto"/>
          </w:tcPr>
          <w:p w14:paraId="170049A9" w14:textId="77777777" w:rsidR="00D462C9" w:rsidRPr="000571B2" w:rsidRDefault="00D462C9" w:rsidP="00511340">
            <w:pPr>
              <w:pStyle w:val="TAC"/>
              <w:rPr>
                <w:rFonts w:eastAsia="Batang"/>
              </w:rPr>
            </w:pPr>
            <w:r w:rsidRPr="000571B2">
              <w:rPr>
                <w:rFonts w:eastAsia="Batang"/>
                <w:noProof/>
                <w:lang w:val="en-US" w:eastAsia="zh-CN"/>
              </w:rPr>
              <w:drawing>
                <wp:inline distT="0" distB="0" distL="0" distR="0" wp14:anchorId="2CC68A6F" wp14:editId="57B98416">
                  <wp:extent cx="409575" cy="39052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0116A833" w14:textId="77777777" w:rsidR="00D462C9" w:rsidRPr="000571B2" w:rsidRDefault="00D462C9" w:rsidP="00511340">
            <w:pPr>
              <w:pStyle w:val="TAC"/>
              <w:rPr>
                <w:rFonts w:eastAsia="Batang"/>
              </w:rPr>
            </w:pPr>
            <w:r w:rsidRPr="000571B2">
              <w:rPr>
                <w:rFonts w:eastAsia="Batang"/>
                <w:noProof/>
                <w:lang w:val="en-US" w:eastAsia="zh-CN"/>
              </w:rPr>
              <w:drawing>
                <wp:inline distT="0" distB="0" distL="0" distR="0" wp14:anchorId="030D2FF0" wp14:editId="2BF4CBE7">
                  <wp:extent cx="495300" cy="39052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5D3F4ACC" w14:textId="77777777" w:rsidR="00D462C9" w:rsidRPr="000571B2" w:rsidRDefault="00D462C9" w:rsidP="00511340">
            <w:pPr>
              <w:pStyle w:val="TAC"/>
              <w:rPr>
                <w:rFonts w:eastAsia="Batang"/>
              </w:rPr>
            </w:pPr>
            <w:r w:rsidRPr="000571B2">
              <w:rPr>
                <w:rFonts w:eastAsia="Batang"/>
                <w:noProof/>
                <w:lang w:val="en-US" w:eastAsia="zh-CN"/>
              </w:rPr>
              <w:drawing>
                <wp:inline distT="0" distB="0" distL="0" distR="0" wp14:anchorId="693F1BDC" wp14:editId="351CA795">
                  <wp:extent cx="428625" cy="390525"/>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41" w:type="dxa"/>
            <w:shd w:val="clear" w:color="auto" w:fill="auto"/>
          </w:tcPr>
          <w:p w14:paraId="60255CA2" w14:textId="77777777" w:rsidR="00D462C9" w:rsidRPr="000571B2" w:rsidRDefault="00D462C9" w:rsidP="00511340">
            <w:pPr>
              <w:pStyle w:val="TAC"/>
              <w:rPr>
                <w:rFonts w:eastAsia="Batang"/>
              </w:rPr>
            </w:pPr>
            <w:r w:rsidRPr="000571B2">
              <w:rPr>
                <w:rFonts w:eastAsia="Batang"/>
                <w:noProof/>
                <w:lang w:val="en-US" w:eastAsia="zh-CN"/>
              </w:rPr>
              <w:drawing>
                <wp:inline distT="0" distB="0" distL="0" distR="0" wp14:anchorId="2755BEBF" wp14:editId="1F836108">
                  <wp:extent cx="523875" cy="39052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145FA711" w14:textId="77777777" w:rsidR="00D462C9" w:rsidRPr="003C7F53" w:rsidRDefault="00D462C9" w:rsidP="00511340">
            <w:pPr>
              <w:pStyle w:val="TAC"/>
              <w:rPr>
                <w:rFonts w:eastAsia="Batang"/>
              </w:rPr>
            </w:pPr>
            <w:r w:rsidRPr="003C7F53">
              <w:t>-</w:t>
            </w:r>
          </w:p>
        </w:tc>
        <w:tc>
          <w:tcPr>
            <w:tcW w:w="1140" w:type="dxa"/>
            <w:shd w:val="clear" w:color="auto" w:fill="auto"/>
            <w:vAlign w:val="center"/>
          </w:tcPr>
          <w:p w14:paraId="34990673" w14:textId="77777777" w:rsidR="00D462C9" w:rsidRPr="005B61B2" w:rsidRDefault="00D462C9" w:rsidP="00511340">
            <w:pPr>
              <w:pStyle w:val="TAC"/>
              <w:rPr>
                <w:rFonts w:eastAsia="Batang"/>
              </w:rPr>
            </w:pPr>
            <w:r>
              <w:t>-</w:t>
            </w:r>
          </w:p>
        </w:tc>
      </w:tr>
    </w:tbl>
    <w:p w14:paraId="4393AAFC" w14:textId="77777777" w:rsidR="00D462C9" w:rsidRDefault="00D462C9" w:rsidP="00C21C52">
      <w:pPr>
        <w:rPr>
          <w:lang w:eastAsia="zh-CN"/>
        </w:rPr>
      </w:pPr>
    </w:p>
    <w:p w14:paraId="79C191EB" w14:textId="77777777" w:rsidR="00D847E9" w:rsidRDefault="008C7F16" w:rsidP="00C21C52">
      <w:pPr>
        <w:rPr>
          <w:lang w:eastAsia="zh-CN"/>
        </w:rPr>
      </w:pPr>
      <w:r>
        <w:rPr>
          <w:lang w:eastAsia="zh-CN"/>
        </w:rPr>
        <w:t xml:space="preserve">As discussed in section 2.1, 2TX TPMI shall be configured, so the 1TX TPMI (TPMI index 0 and 1) should be excluded. </w:t>
      </w:r>
    </w:p>
    <w:p w14:paraId="1313702C" w14:textId="139754AC" w:rsidR="00D462C9" w:rsidRDefault="008C7F16" w:rsidP="00C21C52">
      <w:pPr>
        <w:rPr>
          <w:lang w:eastAsia="zh-CN"/>
        </w:rPr>
      </w:pPr>
      <w:r>
        <w:rPr>
          <w:lang w:eastAsia="zh-CN"/>
        </w:rPr>
        <w:t>Among index TPMI index 2</w:t>
      </w:r>
      <w:r w:rsidR="0088401B">
        <w:rPr>
          <w:lang w:eastAsia="zh-CN"/>
        </w:rPr>
        <w:t xml:space="preserve">-5, two </w:t>
      </w:r>
      <w:r w:rsidR="00D847E9">
        <w:rPr>
          <w:lang w:eastAsia="zh-CN"/>
        </w:rPr>
        <w:t xml:space="preserve">candidate </w:t>
      </w:r>
      <w:r w:rsidR="0088401B">
        <w:rPr>
          <w:lang w:eastAsia="zh-CN"/>
        </w:rPr>
        <w:t>options are shown in the WF [2]</w:t>
      </w:r>
    </w:p>
    <w:p w14:paraId="1210E5EB" w14:textId="77777777" w:rsidR="0088401B" w:rsidRPr="0088401B" w:rsidRDefault="0088401B" w:rsidP="0088401B">
      <w:pPr>
        <w:numPr>
          <w:ilvl w:val="1"/>
          <w:numId w:val="42"/>
        </w:numPr>
        <w:rPr>
          <w:i/>
          <w:lang w:val="en-US"/>
        </w:rPr>
      </w:pPr>
      <w:r w:rsidRPr="0088401B">
        <w:rPr>
          <w:i/>
          <w:lang w:val="en-US"/>
        </w:rPr>
        <w:t xml:space="preserve">Option1: Fixed TPMI index </w:t>
      </w:r>
    </w:p>
    <w:p w14:paraId="2D512657" w14:textId="77777777" w:rsidR="0088401B" w:rsidRPr="0088401B" w:rsidRDefault="0088401B" w:rsidP="0088401B">
      <w:pPr>
        <w:numPr>
          <w:ilvl w:val="1"/>
          <w:numId w:val="42"/>
        </w:numPr>
        <w:rPr>
          <w:i/>
          <w:lang w:val="en-US"/>
        </w:rPr>
      </w:pPr>
      <w:r w:rsidRPr="0088401B">
        <w:rPr>
          <w:i/>
          <w:lang w:val="en-US"/>
        </w:rPr>
        <w:t>Option2: Optimal TPMI index</w:t>
      </w:r>
      <w:r w:rsidRPr="0088401B">
        <w:rPr>
          <w:i/>
        </w:rPr>
        <w:t xml:space="preserve"> </w:t>
      </w:r>
    </w:p>
    <w:p w14:paraId="1D389367" w14:textId="77777777" w:rsidR="0088401B" w:rsidRPr="0088401B" w:rsidRDefault="0088401B" w:rsidP="0088401B">
      <w:pPr>
        <w:numPr>
          <w:ilvl w:val="2"/>
          <w:numId w:val="42"/>
        </w:numPr>
        <w:rPr>
          <w:i/>
          <w:lang w:val="en-US"/>
        </w:rPr>
      </w:pPr>
      <w:r w:rsidRPr="0088401B">
        <w:rPr>
          <w:i/>
          <w:lang w:val="en-US"/>
        </w:rPr>
        <w:t>Option2-A: TE to configure the UE with SRS resources at each grid point</w:t>
      </w:r>
    </w:p>
    <w:p w14:paraId="1E7B87F3" w14:textId="77777777" w:rsidR="0088401B" w:rsidRPr="0088401B" w:rsidRDefault="0088401B" w:rsidP="0088401B">
      <w:pPr>
        <w:numPr>
          <w:ilvl w:val="2"/>
          <w:numId w:val="42"/>
        </w:numPr>
        <w:rPr>
          <w:i/>
          <w:lang w:val="en-US"/>
        </w:rPr>
      </w:pPr>
      <w:r w:rsidRPr="0088401B">
        <w:rPr>
          <w:i/>
          <w:lang w:val="en-US"/>
        </w:rPr>
        <w:t>Option2-B: TE simply try out all TPMIs and choose best one</w:t>
      </w:r>
    </w:p>
    <w:p w14:paraId="5ECA4DA0" w14:textId="067E125C" w:rsidR="0088401B" w:rsidRPr="0088401B" w:rsidRDefault="008F1153" w:rsidP="00C21C52">
      <w:pPr>
        <w:rPr>
          <w:lang w:val="en-US" w:eastAsia="zh-CN"/>
        </w:rPr>
      </w:pPr>
      <w:r>
        <w:rPr>
          <w:lang w:val="en-US" w:eastAsia="zh-CN"/>
        </w:rPr>
        <w:lastRenderedPageBreak/>
        <w:t xml:space="preserve">It can be observed that there is no much difference among TPMI index </w:t>
      </w:r>
      <w:r w:rsidR="00D847E9">
        <w:rPr>
          <w:lang w:val="en-US" w:eastAsia="zh-CN"/>
        </w:rPr>
        <w:t>2</w:t>
      </w:r>
      <w:r>
        <w:rPr>
          <w:lang w:val="en-US" w:eastAsia="zh-CN"/>
        </w:rPr>
        <w:t xml:space="preserve">-5 in the RF EIRP test environment, though it is meaningful in the field. Especially when the TE side demodulation is based on single RX polarization, the TPMI selection based on SRS is not workable which is different from real gNB. Even TE side demodulation will be enhanced to dual polarization receiver, the EIRP measurement result of TPMI index 2-5 also has no difference because the </w:t>
      </w:r>
      <w:r w:rsidR="004023A5">
        <w:rPr>
          <w:lang w:val="en-US" w:eastAsia="zh-CN"/>
        </w:rPr>
        <w:t xml:space="preserve">two antenna port transmission are orthogonal polarized and hence the phase difference between the two ports does not affect </w:t>
      </w:r>
      <w:r w:rsidR="00D847E9">
        <w:rPr>
          <w:lang w:val="en-US" w:eastAsia="zh-CN"/>
        </w:rPr>
        <w:t xml:space="preserve">each other on </w:t>
      </w:r>
      <w:r w:rsidR="004023A5">
        <w:rPr>
          <w:lang w:val="en-US" w:eastAsia="zh-CN"/>
        </w:rPr>
        <w:t>the beam forming pattern</w:t>
      </w:r>
      <w:r w:rsidR="00D847E9">
        <w:rPr>
          <w:lang w:val="en-US" w:eastAsia="zh-CN"/>
        </w:rPr>
        <w:t>, and</w:t>
      </w:r>
      <w:r w:rsidR="004023A5">
        <w:rPr>
          <w:lang w:val="en-US" w:eastAsia="zh-CN"/>
        </w:rPr>
        <w:t xml:space="preserve"> TE side can collect all the power transmitted from the two antenna ports. So it is not necessary to make the EIRP test more complicated</w:t>
      </w:r>
      <w:r w:rsidR="00E162EC">
        <w:rPr>
          <w:lang w:val="en-US" w:eastAsia="zh-CN"/>
        </w:rPr>
        <w:t xml:space="preserve"> by adding</w:t>
      </w:r>
      <w:r w:rsidR="004023A5">
        <w:rPr>
          <w:lang w:val="en-US" w:eastAsia="zh-CN"/>
        </w:rPr>
        <w:t xml:space="preserve"> test procedures on TPMI index search. So Option1 fixed TPMI index is doable and TPMI index 2 is preferred</w:t>
      </w:r>
      <w:r w:rsidR="00D847E9">
        <w:rPr>
          <w:lang w:val="en-US" w:eastAsia="zh-CN"/>
        </w:rPr>
        <w:t xml:space="preserve"> for simplicity</w:t>
      </w:r>
      <w:r w:rsidR="004023A5">
        <w:rPr>
          <w:lang w:val="en-US" w:eastAsia="zh-CN"/>
        </w:rPr>
        <w:t>.</w:t>
      </w:r>
    </w:p>
    <w:p w14:paraId="2D0535D4" w14:textId="3E3776B2" w:rsidR="0041413C" w:rsidRDefault="0044617F" w:rsidP="00C90FD3">
      <w:pPr>
        <w:spacing w:after="120"/>
        <w:ind w:left="1418" w:hanging="1418"/>
        <w:rPr>
          <w:b/>
          <w:bCs/>
        </w:rPr>
      </w:pPr>
      <w:r>
        <w:rPr>
          <w:b/>
          <w:bCs/>
        </w:rPr>
        <w:t xml:space="preserve">Proposal </w:t>
      </w:r>
      <w:r w:rsidR="00F5772C">
        <w:rPr>
          <w:b/>
          <w:bCs/>
        </w:rPr>
        <w:t>2</w:t>
      </w:r>
      <w:r w:rsidRPr="00DF1B01">
        <w:rPr>
          <w:b/>
          <w:bCs/>
        </w:rPr>
        <w:t>:</w:t>
      </w:r>
      <w:r w:rsidRPr="00DF1B01">
        <w:rPr>
          <w:b/>
          <w:bCs/>
        </w:rPr>
        <w:tab/>
      </w:r>
      <w:r w:rsidR="004023A5">
        <w:rPr>
          <w:b/>
          <w:bCs/>
        </w:rPr>
        <w:t>When 2-port transmission is configured for EIRP measurement for test cases in clause 6.2 of TS38.101-2, fixed TPMI index=2 shall be configured.</w:t>
      </w:r>
    </w:p>
    <w:p w14:paraId="3764CAFA" w14:textId="761D5D35" w:rsidR="00235EE7" w:rsidRDefault="00235EE7" w:rsidP="00235EE7">
      <w:pPr>
        <w:pStyle w:val="1"/>
      </w:pPr>
      <w:r>
        <w:t xml:space="preserve">3. </w:t>
      </w:r>
      <w:r>
        <w:tab/>
        <w:t>Conclusion</w:t>
      </w:r>
    </w:p>
    <w:p w14:paraId="61C46478" w14:textId="77777777" w:rsidR="00DA751F" w:rsidRDefault="00DA751F" w:rsidP="00DA751F">
      <w:pPr>
        <w:spacing w:after="120"/>
        <w:ind w:left="1418" w:hanging="1418"/>
        <w:rPr>
          <w:b/>
          <w:bCs/>
        </w:rPr>
      </w:pPr>
      <w:r>
        <w:rPr>
          <w:b/>
          <w:bCs/>
        </w:rPr>
        <w:t>Proposal 1</w:t>
      </w:r>
      <w:r w:rsidRPr="00DF1B01">
        <w:rPr>
          <w:b/>
          <w:bCs/>
        </w:rPr>
        <w:t>:</w:t>
      </w:r>
      <w:r w:rsidRPr="00DF1B01">
        <w:rPr>
          <w:b/>
          <w:bCs/>
        </w:rPr>
        <w:tab/>
      </w:r>
      <w:r w:rsidRPr="006B41F1">
        <w:rPr>
          <w:b/>
          <w:bCs/>
        </w:rPr>
        <w:t xml:space="preserve">TPMI method is applicable for clause 6.2 of TS38.101-2 </w:t>
      </w:r>
      <w:r>
        <w:rPr>
          <w:b/>
          <w:bCs/>
        </w:rPr>
        <w:t xml:space="preserve">and other transmitter test cases and 2TX TPMI shall be configured for </w:t>
      </w:r>
      <w:r w:rsidRPr="00A25170">
        <w:rPr>
          <w:b/>
          <w:bCs/>
        </w:rPr>
        <w:t>coherent UEs and nonCoherent UEs supporting full power transmission</w:t>
      </w:r>
      <w:r>
        <w:rPr>
          <w:b/>
          <w:bCs/>
        </w:rPr>
        <w:t xml:space="preserve"> (mode-1, mode-full power). For </w:t>
      </w:r>
      <w:r w:rsidRPr="00A25170">
        <w:rPr>
          <w:b/>
          <w:bCs/>
        </w:rPr>
        <w:t>nonCoherent UEs which do not support full power transmission</w:t>
      </w:r>
      <w:r>
        <w:rPr>
          <w:b/>
          <w:bCs/>
        </w:rPr>
        <w:t xml:space="preserve"> (mode-1, mode-full power)</w:t>
      </w:r>
      <w:r w:rsidRPr="00A25170">
        <w:rPr>
          <w:b/>
          <w:bCs/>
        </w:rPr>
        <w:t>, 2-port transmission shall be not configured.</w:t>
      </w:r>
    </w:p>
    <w:p w14:paraId="00531BC5" w14:textId="77777777" w:rsidR="00DA751F" w:rsidRDefault="00DA751F" w:rsidP="00DA751F">
      <w:pPr>
        <w:spacing w:after="120"/>
        <w:ind w:left="1418" w:hanging="1418"/>
        <w:rPr>
          <w:b/>
          <w:bCs/>
        </w:rPr>
      </w:pPr>
      <w:r>
        <w:rPr>
          <w:b/>
          <w:bCs/>
        </w:rPr>
        <w:t>Proposal 2</w:t>
      </w:r>
      <w:r w:rsidRPr="00DF1B01">
        <w:rPr>
          <w:b/>
          <w:bCs/>
        </w:rPr>
        <w:t>:</w:t>
      </w:r>
      <w:r w:rsidRPr="00DF1B01">
        <w:rPr>
          <w:b/>
          <w:bCs/>
        </w:rPr>
        <w:tab/>
      </w:r>
      <w:r>
        <w:rPr>
          <w:b/>
          <w:bCs/>
        </w:rPr>
        <w:t>When 2-port transmission is configured for EIRP measurement for test cases in clause 6.2 of TS38.101-2, fixed TPMI index=2 shall be configured.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DF2C77D" w14:textId="6807338C" w:rsidR="00B037F6" w:rsidRDefault="00B037F6" w:rsidP="00DA751F">
      <w:pPr>
        <w:pStyle w:val="af3"/>
        <w:numPr>
          <w:ilvl w:val="0"/>
          <w:numId w:val="26"/>
        </w:numPr>
        <w:ind w:firstLineChars="0"/>
        <w:rPr>
          <w:lang w:val="en-US"/>
        </w:rPr>
      </w:pPr>
      <w:r>
        <w:rPr>
          <w:lang w:val="en-US"/>
        </w:rPr>
        <w:t>R4-2</w:t>
      </w:r>
      <w:r w:rsidR="00DA751F">
        <w:rPr>
          <w:lang w:val="en-US"/>
        </w:rPr>
        <w:t>103967</w:t>
      </w:r>
      <w:r w:rsidRPr="00F461DD">
        <w:rPr>
          <w:lang w:val="en-US"/>
        </w:rPr>
        <w:t xml:space="preserve"> </w:t>
      </w:r>
      <w:r w:rsidRPr="00F461DD">
        <w:rPr>
          <w:lang w:val="en-US"/>
        </w:rPr>
        <w:tab/>
      </w:r>
      <w:r>
        <w:rPr>
          <w:lang w:val="en-US"/>
        </w:rPr>
        <w:t xml:space="preserve">  </w:t>
      </w:r>
      <w:r w:rsidR="00DA751F">
        <w:rPr>
          <w:lang w:val="en-US"/>
        </w:rPr>
        <w:t xml:space="preserve"> </w:t>
      </w:r>
      <w:r w:rsidRPr="00F461DD">
        <w:rPr>
          <w:lang w:val="en-US"/>
        </w:rPr>
        <w:t>“</w:t>
      </w:r>
      <w:r w:rsidR="00DA751F" w:rsidRPr="00DA751F">
        <w:t xml:space="preserve"> </w:t>
      </w:r>
      <w:r w:rsidR="00DA751F" w:rsidRPr="00DA751F">
        <w:rPr>
          <w:rFonts w:eastAsia="Malgun Gothic"/>
          <w:lang w:val="en-US"/>
        </w:rPr>
        <w:t>TP to TR38.884 v0.1.0 on polarization basis mismatch</w:t>
      </w:r>
      <w:r w:rsidRPr="00F461DD">
        <w:rPr>
          <w:lang w:val="en-US"/>
        </w:rPr>
        <w:t>”,</w:t>
      </w:r>
      <w:r>
        <w:rPr>
          <w:lang w:val="en-US"/>
        </w:rPr>
        <w:t xml:space="preserve"> </w:t>
      </w:r>
      <w:r w:rsidR="00DA751F">
        <w:rPr>
          <w:rFonts w:eastAsia="Malgun Gothic"/>
          <w:lang w:val="en-US"/>
        </w:rPr>
        <w:t>vivo, Apple</w:t>
      </w:r>
    </w:p>
    <w:p w14:paraId="638B7ED4" w14:textId="7F07DB2C" w:rsidR="00412B1F" w:rsidRDefault="00615B9F" w:rsidP="00DA751F">
      <w:pPr>
        <w:pStyle w:val="af3"/>
        <w:numPr>
          <w:ilvl w:val="0"/>
          <w:numId w:val="26"/>
        </w:numPr>
        <w:ind w:firstLineChars="0"/>
        <w:rPr>
          <w:lang w:val="en-US"/>
        </w:rPr>
      </w:pPr>
      <w:r>
        <w:rPr>
          <w:lang w:val="en-US"/>
        </w:rPr>
        <w:t>R</w:t>
      </w:r>
      <w:r w:rsidR="00926B77">
        <w:rPr>
          <w:lang w:val="en-US" w:eastAsia="zh-CN"/>
        </w:rPr>
        <w:t>4</w:t>
      </w:r>
      <w:r w:rsidR="00412B1F" w:rsidRPr="00412B1F">
        <w:rPr>
          <w:lang w:val="en-US"/>
        </w:rPr>
        <w:t>-</w:t>
      </w:r>
      <w:r w:rsidR="00DA751F">
        <w:rPr>
          <w:lang w:val="en-US"/>
        </w:rPr>
        <w:t>2103919</w:t>
      </w:r>
      <w:r w:rsidR="00412B1F">
        <w:rPr>
          <w:lang w:val="en-US"/>
        </w:rPr>
        <w:t xml:space="preserve">   </w:t>
      </w:r>
      <w:r>
        <w:rPr>
          <w:lang w:val="en-US"/>
        </w:rPr>
        <w:t xml:space="preserve"> </w:t>
      </w:r>
      <w:r w:rsidR="00412B1F">
        <w:rPr>
          <w:lang w:val="en-US"/>
        </w:rPr>
        <w:t xml:space="preserve"> </w:t>
      </w:r>
      <w:r w:rsidR="00412B1F" w:rsidRPr="00F461DD">
        <w:rPr>
          <w:lang w:val="en-US"/>
        </w:rPr>
        <w:t>“</w:t>
      </w:r>
      <w:r w:rsidR="00DA751F" w:rsidRPr="00DA751F">
        <w:t xml:space="preserve"> </w:t>
      </w:r>
      <w:r w:rsidR="00DA751F" w:rsidRPr="00DA751F">
        <w:rPr>
          <w:lang w:val="en-US"/>
        </w:rPr>
        <w:t>WF on polarization basis mismatch</w:t>
      </w:r>
      <w:r w:rsidR="00412B1F" w:rsidRPr="00F461DD">
        <w:rPr>
          <w:lang w:val="en-US"/>
        </w:rPr>
        <w:t>”,</w:t>
      </w:r>
      <w:r w:rsidR="00412B1F">
        <w:rPr>
          <w:lang w:val="en-US"/>
        </w:rPr>
        <w:t xml:space="preserve"> </w:t>
      </w:r>
      <w:r w:rsidR="00DA751F">
        <w:rPr>
          <w:lang w:val="en-US"/>
        </w:rPr>
        <w:t>MediaTek</w:t>
      </w:r>
    </w:p>
    <w:p w14:paraId="0A20D226" w14:textId="77777777" w:rsidR="009925C5" w:rsidRPr="009925C5" w:rsidRDefault="009925C5" w:rsidP="009925C5">
      <w:pPr>
        <w:rPr>
          <w:rFonts w:eastAsia="Malgun Gothic"/>
          <w:lang w:val="en-US"/>
        </w:rPr>
      </w:pPr>
    </w:p>
    <w:sectPr w:rsidR="009925C5" w:rsidRPr="009925C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2A5DD" w14:textId="77777777" w:rsidR="00F011EE" w:rsidRDefault="00F011EE" w:rsidP="00707BAC">
      <w:pPr>
        <w:spacing w:after="0"/>
      </w:pPr>
      <w:r>
        <w:separator/>
      </w:r>
    </w:p>
  </w:endnote>
  <w:endnote w:type="continuationSeparator" w:id="0">
    <w:p w14:paraId="728D9933" w14:textId="77777777" w:rsidR="00F011EE" w:rsidRDefault="00F011E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等线">
    <w:altName w:val="µ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6C3DA" w14:textId="77777777" w:rsidR="00F011EE" w:rsidRDefault="00F011EE" w:rsidP="00707BAC">
      <w:pPr>
        <w:spacing w:after="0"/>
      </w:pPr>
      <w:r>
        <w:separator/>
      </w:r>
    </w:p>
  </w:footnote>
  <w:footnote w:type="continuationSeparator" w:id="0">
    <w:p w14:paraId="4C185BCD" w14:textId="77777777" w:rsidR="00F011EE" w:rsidRDefault="00F011EE"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4876ED"/>
    <w:multiLevelType w:val="hybridMultilevel"/>
    <w:tmpl w:val="7E68CF8E"/>
    <w:lvl w:ilvl="0" w:tplc="2EE2DEAE">
      <w:start w:val="1"/>
      <w:numFmt w:val="bullet"/>
      <w:lvlText w:val="•"/>
      <w:lvlJc w:val="left"/>
      <w:pPr>
        <w:tabs>
          <w:tab w:val="num" w:pos="720"/>
        </w:tabs>
        <w:ind w:left="720" w:hanging="360"/>
      </w:pPr>
      <w:rPr>
        <w:rFonts w:ascii="Arial" w:hAnsi="Arial" w:hint="default"/>
      </w:rPr>
    </w:lvl>
    <w:lvl w:ilvl="1" w:tplc="511C14E0">
      <w:start w:val="174"/>
      <w:numFmt w:val="bullet"/>
      <w:lvlText w:val="•"/>
      <w:lvlJc w:val="left"/>
      <w:pPr>
        <w:tabs>
          <w:tab w:val="num" w:pos="1440"/>
        </w:tabs>
        <w:ind w:left="1440" w:hanging="360"/>
      </w:pPr>
      <w:rPr>
        <w:rFonts w:ascii="Arial" w:hAnsi="Arial" w:hint="default"/>
      </w:rPr>
    </w:lvl>
    <w:lvl w:ilvl="2" w:tplc="5BDA14E2">
      <w:start w:val="174"/>
      <w:numFmt w:val="bullet"/>
      <w:lvlText w:val="•"/>
      <w:lvlJc w:val="left"/>
      <w:pPr>
        <w:tabs>
          <w:tab w:val="num" w:pos="2160"/>
        </w:tabs>
        <w:ind w:left="2160" w:hanging="360"/>
      </w:pPr>
      <w:rPr>
        <w:rFonts w:ascii="Arial" w:hAnsi="Arial" w:hint="default"/>
      </w:rPr>
    </w:lvl>
    <w:lvl w:ilvl="3" w:tplc="74F8C7AC" w:tentative="1">
      <w:start w:val="1"/>
      <w:numFmt w:val="bullet"/>
      <w:lvlText w:val="•"/>
      <w:lvlJc w:val="left"/>
      <w:pPr>
        <w:tabs>
          <w:tab w:val="num" w:pos="2880"/>
        </w:tabs>
        <w:ind w:left="2880" w:hanging="360"/>
      </w:pPr>
      <w:rPr>
        <w:rFonts w:ascii="Arial" w:hAnsi="Arial" w:hint="default"/>
      </w:rPr>
    </w:lvl>
    <w:lvl w:ilvl="4" w:tplc="AF8ADF02" w:tentative="1">
      <w:start w:val="1"/>
      <w:numFmt w:val="bullet"/>
      <w:lvlText w:val="•"/>
      <w:lvlJc w:val="left"/>
      <w:pPr>
        <w:tabs>
          <w:tab w:val="num" w:pos="3600"/>
        </w:tabs>
        <w:ind w:left="3600" w:hanging="360"/>
      </w:pPr>
      <w:rPr>
        <w:rFonts w:ascii="Arial" w:hAnsi="Arial" w:hint="default"/>
      </w:rPr>
    </w:lvl>
    <w:lvl w:ilvl="5" w:tplc="EA4CF84C" w:tentative="1">
      <w:start w:val="1"/>
      <w:numFmt w:val="bullet"/>
      <w:lvlText w:val="•"/>
      <w:lvlJc w:val="left"/>
      <w:pPr>
        <w:tabs>
          <w:tab w:val="num" w:pos="4320"/>
        </w:tabs>
        <w:ind w:left="4320" w:hanging="360"/>
      </w:pPr>
      <w:rPr>
        <w:rFonts w:ascii="Arial" w:hAnsi="Arial" w:hint="default"/>
      </w:rPr>
    </w:lvl>
    <w:lvl w:ilvl="6" w:tplc="0680DA58" w:tentative="1">
      <w:start w:val="1"/>
      <w:numFmt w:val="bullet"/>
      <w:lvlText w:val="•"/>
      <w:lvlJc w:val="left"/>
      <w:pPr>
        <w:tabs>
          <w:tab w:val="num" w:pos="5040"/>
        </w:tabs>
        <w:ind w:left="5040" w:hanging="360"/>
      </w:pPr>
      <w:rPr>
        <w:rFonts w:ascii="Arial" w:hAnsi="Arial" w:hint="default"/>
      </w:rPr>
    </w:lvl>
    <w:lvl w:ilvl="7" w:tplc="F9A6065C" w:tentative="1">
      <w:start w:val="1"/>
      <w:numFmt w:val="bullet"/>
      <w:lvlText w:val="•"/>
      <w:lvlJc w:val="left"/>
      <w:pPr>
        <w:tabs>
          <w:tab w:val="num" w:pos="5760"/>
        </w:tabs>
        <w:ind w:left="5760" w:hanging="360"/>
      </w:pPr>
      <w:rPr>
        <w:rFonts w:ascii="Arial" w:hAnsi="Arial" w:hint="default"/>
      </w:rPr>
    </w:lvl>
    <w:lvl w:ilvl="8" w:tplc="711472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632DD8"/>
    <w:multiLevelType w:val="hybridMultilevel"/>
    <w:tmpl w:val="E6644D68"/>
    <w:lvl w:ilvl="0" w:tplc="E0EEABB4">
      <w:start w:val="1"/>
      <w:numFmt w:val="bullet"/>
      <w:lvlText w:val="•"/>
      <w:lvlJc w:val="left"/>
      <w:pPr>
        <w:tabs>
          <w:tab w:val="num" w:pos="360"/>
        </w:tabs>
        <w:ind w:left="360" w:hanging="360"/>
      </w:pPr>
      <w:rPr>
        <w:rFonts w:ascii="Arial" w:hAnsi="Arial" w:hint="default"/>
      </w:rPr>
    </w:lvl>
    <w:lvl w:ilvl="1" w:tplc="B8505C56">
      <w:start w:val="242"/>
      <w:numFmt w:val="bullet"/>
      <w:lvlText w:val="•"/>
      <w:lvlJc w:val="left"/>
      <w:pPr>
        <w:tabs>
          <w:tab w:val="num" w:pos="1080"/>
        </w:tabs>
        <w:ind w:left="1080" w:hanging="360"/>
      </w:pPr>
      <w:rPr>
        <w:rFonts w:ascii="Arial" w:hAnsi="Arial" w:hint="default"/>
      </w:rPr>
    </w:lvl>
    <w:lvl w:ilvl="2" w:tplc="DFE26C56">
      <w:start w:val="242"/>
      <w:numFmt w:val="bullet"/>
      <w:lvlText w:val="•"/>
      <w:lvlJc w:val="left"/>
      <w:pPr>
        <w:tabs>
          <w:tab w:val="num" w:pos="1800"/>
        </w:tabs>
        <w:ind w:left="1800" w:hanging="360"/>
      </w:pPr>
      <w:rPr>
        <w:rFonts w:ascii="Arial" w:hAnsi="Arial" w:hint="default"/>
      </w:rPr>
    </w:lvl>
    <w:lvl w:ilvl="3" w:tplc="9976DC82">
      <w:start w:val="242"/>
      <w:numFmt w:val="bullet"/>
      <w:lvlText w:val="•"/>
      <w:lvlJc w:val="left"/>
      <w:pPr>
        <w:tabs>
          <w:tab w:val="num" w:pos="2520"/>
        </w:tabs>
        <w:ind w:left="2520" w:hanging="360"/>
      </w:pPr>
      <w:rPr>
        <w:rFonts w:ascii="Arial" w:hAnsi="Arial" w:hint="default"/>
      </w:rPr>
    </w:lvl>
    <w:lvl w:ilvl="4" w:tplc="E5AA37AC" w:tentative="1">
      <w:start w:val="1"/>
      <w:numFmt w:val="bullet"/>
      <w:lvlText w:val="•"/>
      <w:lvlJc w:val="left"/>
      <w:pPr>
        <w:tabs>
          <w:tab w:val="num" w:pos="3240"/>
        </w:tabs>
        <w:ind w:left="3240" w:hanging="360"/>
      </w:pPr>
      <w:rPr>
        <w:rFonts w:ascii="Arial" w:hAnsi="Arial" w:hint="default"/>
      </w:rPr>
    </w:lvl>
    <w:lvl w:ilvl="5" w:tplc="3E22FC0C" w:tentative="1">
      <w:start w:val="1"/>
      <w:numFmt w:val="bullet"/>
      <w:lvlText w:val="•"/>
      <w:lvlJc w:val="left"/>
      <w:pPr>
        <w:tabs>
          <w:tab w:val="num" w:pos="3960"/>
        </w:tabs>
        <w:ind w:left="3960" w:hanging="360"/>
      </w:pPr>
      <w:rPr>
        <w:rFonts w:ascii="Arial" w:hAnsi="Arial" w:hint="default"/>
      </w:rPr>
    </w:lvl>
    <w:lvl w:ilvl="6" w:tplc="ED289B5E" w:tentative="1">
      <w:start w:val="1"/>
      <w:numFmt w:val="bullet"/>
      <w:lvlText w:val="•"/>
      <w:lvlJc w:val="left"/>
      <w:pPr>
        <w:tabs>
          <w:tab w:val="num" w:pos="4680"/>
        </w:tabs>
        <w:ind w:left="4680" w:hanging="360"/>
      </w:pPr>
      <w:rPr>
        <w:rFonts w:ascii="Arial" w:hAnsi="Arial" w:hint="default"/>
      </w:rPr>
    </w:lvl>
    <w:lvl w:ilvl="7" w:tplc="EDBAA9BE" w:tentative="1">
      <w:start w:val="1"/>
      <w:numFmt w:val="bullet"/>
      <w:lvlText w:val="•"/>
      <w:lvlJc w:val="left"/>
      <w:pPr>
        <w:tabs>
          <w:tab w:val="num" w:pos="5400"/>
        </w:tabs>
        <w:ind w:left="5400" w:hanging="360"/>
      </w:pPr>
      <w:rPr>
        <w:rFonts w:ascii="Arial" w:hAnsi="Arial" w:hint="default"/>
      </w:rPr>
    </w:lvl>
    <w:lvl w:ilvl="8" w:tplc="8818857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121B35"/>
    <w:multiLevelType w:val="hybridMultilevel"/>
    <w:tmpl w:val="E7729066"/>
    <w:lvl w:ilvl="0" w:tplc="3084AF04">
      <w:start w:val="1"/>
      <w:numFmt w:val="bullet"/>
      <w:lvlText w:val="-"/>
      <w:lvlJc w:val="left"/>
      <w:pPr>
        <w:tabs>
          <w:tab w:val="num" w:pos="720"/>
        </w:tabs>
        <w:ind w:left="720" w:hanging="360"/>
      </w:pPr>
      <w:rPr>
        <w:rFonts w:ascii="宋体" w:hAnsi="宋体" w:hint="default"/>
      </w:rPr>
    </w:lvl>
    <w:lvl w:ilvl="1" w:tplc="C61EE3FA">
      <w:start w:val="1"/>
      <w:numFmt w:val="bullet"/>
      <w:lvlText w:val="-"/>
      <w:lvlJc w:val="left"/>
      <w:pPr>
        <w:tabs>
          <w:tab w:val="num" w:pos="1440"/>
        </w:tabs>
        <w:ind w:left="1440" w:hanging="360"/>
      </w:pPr>
      <w:rPr>
        <w:rFonts w:ascii="宋体" w:hAnsi="宋体" w:hint="default"/>
      </w:rPr>
    </w:lvl>
    <w:lvl w:ilvl="2" w:tplc="88F0EA9E">
      <w:start w:val="1"/>
      <w:numFmt w:val="bullet"/>
      <w:lvlText w:val="-"/>
      <w:lvlJc w:val="left"/>
      <w:pPr>
        <w:tabs>
          <w:tab w:val="num" w:pos="2160"/>
        </w:tabs>
        <w:ind w:left="2160" w:hanging="360"/>
      </w:pPr>
      <w:rPr>
        <w:rFonts w:ascii="宋体" w:hAnsi="宋体" w:hint="default"/>
      </w:rPr>
    </w:lvl>
    <w:lvl w:ilvl="3" w:tplc="5E429294">
      <w:start w:val="1"/>
      <w:numFmt w:val="bullet"/>
      <w:lvlText w:val="-"/>
      <w:lvlJc w:val="left"/>
      <w:pPr>
        <w:tabs>
          <w:tab w:val="num" w:pos="2880"/>
        </w:tabs>
        <w:ind w:left="2880" w:hanging="360"/>
      </w:pPr>
      <w:rPr>
        <w:rFonts w:ascii="宋体" w:hAnsi="宋体" w:hint="default"/>
      </w:rPr>
    </w:lvl>
    <w:lvl w:ilvl="4" w:tplc="C7D83248" w:tentative="1">
      <w:start w:val="1"/>
      <w:numFmt w:val="bullet"/>
      <w:lvlText w:val="-"/>
      <w:lvlJc w:val="left"/>
      <w:pPr>
        <w:tabs>
          <w:tab w:val="num" w:pos="3600"/>
        </w:tabs>
        <w:ind w:left="3600" w:hanging="360"/>
      </w:pPr>
      <w:rPr>
        <w:rFonts w:ascii="宋体" w:hAnsi="宋体" w:hint="default"/>
      </w:rPr>
    </w:lvl>
    <w:lvl w:ilvl="5" w:tplc="7DCEE71A" w:tentative="1">
      <w:start w:val="1"/>
      <w:numFmt w:val="bullet"/>
      <w:lvlText w:val="-"/>
      <w:lvlJc w:val="left"/>
      <w:pPr>
        <w:tabs>
          <w:tab w:val="num" w:pos="4320"/>
        </w:tabs>
        <w:ind w:left="4320" w:hanging="360"/>
      </w:pPr>
      <w:rPr>
        <w:rFonts w:ascii="宋体" w:hAnsi="宋体" w:hint="default"/>
      </w:rPr>
    </w:lvl>
    <w:lvl w:ilvl="6" w:tplc="92CAEBE6" w:tentative="1">
      <w:start w:val="1"/>
      <w:numFmt w:val="bullet"/>
      <w:lvlText w:val="-"/>
      <w:lvlJc w:val="left"/>
      <w:pPr>
        <w:tabs>
          <w:tab w:val="num" w:pos="5040"/>
        </w:tabs>
        <w:ind w:left="5040" w:hanging="360"/>
      </w:pPr>
      <w:rPr>
        <w:rFonts w:ascii="宋体" w:hAnsi="宋体" w:hint="default"/>
      </w:rPr>
    </w:lvl>
    <w:lvl w:ilvl="7" w:tplc="607A90A4" w:tentative="1">
      <w:start w:val="1"/>
      <w:numFmt w:val="bullet"/>
      <w:lvlText w:val="-"/>
      <w:lvlJc w:val="left"/>
      <w:pPr>
        <w:tabs>
          <w:tab w:val="num" w:pos="5760"/>
        </w:tabs>
        <w:ind w:left="5760" w:hanging="360"/>
      </w:pPr>
      <w:rPr>
        <w:rFonts w:ascii="宋体" w:hAnsi="宋体" w:hint="default"/>
      </w:rPr>
    </w:lvl>
    <w:lvl w:ilvl="8" w:tplc="5F1AE000"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0D0EC9"/>
    <w:multiLevelType w:val="hybridMultilevel"/>
    <w:tmpl w:val="D10A1B3C"/>
    <w:lvl w:ilvl="0" w:tplc="3E28E322">
      <w:start w:val="1"/>
      <w:numFmt w:val="decimal"/>
      <w:lvlText w:val="%1."/>
      <w:lvlJc w:val="left"/>
      <w:pPr>
        <w:tabs>
          <w:tab w:val="num" w:pos="720"/>
        </w:tabs>
        <w:ind w:left="720" w:hanging="360"/>
      </w:pPr>
    </w:lvl>
    <w:lvl w:ilvl="1" w:tplc="4434FE00" w:tentative="1">
      <w:start w:val="1"/>
      <w:numFmt w:val="decimal"/>
      <w:lvlText w:val="%2."/>
      <w:lvlJc w:val="left"/>
      <w:pPr>
        <w:tabs>
          <w:tab w:val="num" w:pos="1440"/>
        </w:tabs>
        <w:ind w:left="1440" w:hanging="360"/>
      </w:pPr>
    </w:lvl>
    <w:lvl w:ilvl="2" w:tplc="05FE443A" w:tentative="1">
      <w:start w:val="1"/>
      <w:numFmt w:val="decimal"/>
      <w:lvlText w:val="%3."/>
      <w:lvlJc w:val="left"/>
      <w:pPr>
        <w:tabs>
          <w:tab w:val="num" w:pos="2160"/>
        </w:tabs>
        <w:ind w:left="2160" w:hanging="360"/>
      </w:pPr>
    </w:lvl>
    <w:lvl w:ilvl="3" w:tplc="E124AC8A" w:tentative="1">
      <w:start w:val="1"/>
      <w:numFmt w:val="decimal"/>
      <w:lvlText w:val="%4."/>
      <w:lvlJc w:val="left"/>
      <w:pPr>
        <w:tabs>
          <w:tab w:val="num" w:pos="2880"/>
        </w:tabs>
        <w:ind w:left="2880" w:hanging="360"/>
      </w:pPr>
    </w:lvl>
    <w:lvl w:ilvl="4" w:tplc="CCDA5CF6" w:tentative="1">
      <w:start w:val="1"/>
      <w:numFmt w:val="decimal"/>
      <w:lvlText w:val="%5."/>
      <w:lvlJc w:val="left"/>
      <w:pPr>
        <w:tabs>
          <w:tab w:val="num" w:pos="3600"/>
        </w:tabs>
        <w:ind w:left="3600" w:hanging="360"/>
      </w:pPr>
    </w:lvl>
    <w:lvl w:ilvl="5" w:tplc="A1D4D082" w:tentative="1">
      <w:start w:val="1"/>
      <w:numFmt w:val="decimal"/>
      <w:lvlText w:val="%6."/>
      <w:lvlJc w:val="left"/>
      <w:pPr>
        <w:tabs>
          <w:tab w:val="num" w:pos="4320"/>
        </w:tabs>
        <w:ind w:left="4320" w:hanging="360"/>
      </w:pPr>
    </w:lvl>
    <w:lvl w:ilvl="6" w:tplc="89FABA3A" w:tentative="1">
      <w:start w:val="1"/>
      <w:numFmt w:val="decimal"/>
      <w:lvlText w:val="%7."/>
      <w:lvlJc w:val="left"/>
      <w:pPr>
        <w:tabs>
          <w:tab w:val="num" w:pos="5040"/>
        </w:tabs>
        <w:ind w:left="5040" w:hanging="360"/>
      </w:pPr>
    </w:lvl>
    <w:lvl w:ilvl="7" w:tplc="C27E0516" w:tentative="1">
      <w:start w:val="1"/>
      <w:numFmt w:val="decimal"/>
      <w:lvlText w:val="%8."/>
      <w:lvlJc w:val="left"/>
      <w:pPr>
        <w:tabs>
          <w:tab w:val="num" w:pos="5760"/>
        </w:tabs>
        <w:ind w:left="5760" w:hanging="360"/>
      </w:pPr>
    </w:lvl>
    <w:lvl w:ilvl="8" w:tplc="6A7EF694" w:tentative="1">
      <w:start w:val="1"/>
      <w:numFmt w:val="decimal"/>
      <w:lvlText w:val="%9."/>
      <w:lvlJc w:val="left"/>
      <w:pPr>
        <w:tabs>
          <w:tab w:val="num" w:pos="6480"/>
        </w:tabs>
        <w:ind w:left="6480" w:hanging="360"/>
      </w:pPr>
    </w:lvl>
  </w:abstractNum>
  <w:abstractNum w:abstractNumId="3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4"/>
  </w:num>
  <w:num w:numId="9">
    <w:abstractNumId w:val="25"/>
  </w:num>
  <w:num w:numId="10">
    <w:abstractNumId w:val="22"/>
  </w:num>
  <w:num w:numId="11">
    <w:abstractNumId w:val="20"/>
  </w:num>
  <w:num w:numId="12">
    <w:abstractNumId w:val="12"/>
  </w:num>
  <w:num w:numId="13">
    <w:abstractNumId w:val="32"/>
  </w:num>
  <w:num w:numId="14">
    <w:abstractNumId w:val="19"/>
  </w:num>
  <w:num w:numId="15">
    <w:abstractNumId w:val="11"/>
  </w:num>
  <w:num w:numId="16">
    <w:abstractNumId w:val="40"/>
  </w:num>
  <w:num w:numId="17">
    <w:abstractNumId w:val="21"/>
  </w:num>
  <w:num w:numId="18">
    <w:abstractNumId w:val="38"/>
  </w:num>
  <w:num w:numId="19">
    <w:abstractNumId w:val="16"/>
  </w:num>
  <w:num w:numId="20">
    <w:abstractNumId w:val="24"/>
  </w:num>
  <w:num w:numId="21">
    <w:abstractNumId w:val="37"/>
  </w:num>
  <w:num w:numId="22">
    <w:abstractNumId w:val="41"/>
  </w:num>
  <w:num w:numId="23">
    <w:abstractNumId w:val="30"/>
  </w:num>
  <w:num w:numId="24">
    <w:abstractNumId w:val="27"/>
  </w:num>
  <w:num w:numId="25">
    <w:abstractNumId w:val="26"/>
  </w:num>
  <w:num w:numId="26">
    <w:abstractNumId w:val="39"/>
  </w:num>
  <w:num w:numId="27">
    <w:abstractNumId w:val="7"/>
  </w:num>
  <w:num w:numId="28">
    <w:abstractNumId w:val="28"/>
  </w:num>
  <w:num w:numId="29">
    <w:abstractNumId w:val="33"/>
  </w:num>
  <w:num w:numId="30">
    <w:abstractNumId w:val="36"/>
  </w:num>
  <w:num w:numId="31">
    <w:abstractNumId w:val="17"/>
  </w:num>
  <w:num w:numId="32">
    <w:abstractNumId w:val="35"/>
  </w:num>
  <w:num w:numId="33">
    <w:abstractNumId w:val="8"/>
  </w:num>
  <w:num w:numId="34">
    <w:abstractNumId w:val="14"/>
  </w:num>
  <w:num w:numId="35">
    <w:abstractNumId w:val="13"/>
  </w:num>
  <w:num w:numId="36">
    <w:abstractNumId w:val="10"/>
  </w:num>
  <w:num w:numId="37">
    <w:abstractNumId w:val="15"/>
  </w:num>
  <w:num w:numId="38">
    <w:abstractNumId w:val="18"/>
  </w:num>
  <w:num w:numId="39">
    <w:abstractNumId w:val="31"/>
  </w:num>
  <w:num w:numId="40">
    <w:abstractNumId w:val="23"/>
  </w:num>
  <w:num w:numId="41">
    <w:abstractNumId w:val="29"/>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B41"/>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543C8"/>
    <w:rsid w:val="0006136D"/>
    <w:rsid w:val="00061E36"/>
    <w:rsid w:val="00062E39"/>
    <w:rsid w:val="00065FBC"/>
    <w:rsid w:val="00066825"/>
    <w:rsid w:val="000735D4"/>
    <w:rsid w:val="00077EB3"/>
    <w:rsid w:val="00085E46"/>
    <w:rsid w:val="000908D9"/>
    <w:rsid w:val="00091315"/>
    <w:rsid w:val="00092B0C"/>
    <w:rsid w:val="00097642"/>
    <w:rsid w:val="000A012E"/>
    <w:rsid w:val="000A28B3"/>
    <w:rsid w:val="000A355F"/>
    <w:rsid w:val="000A567D"/>
    <w:rsid w:val="000A643B"/>
    <w:rsid w:val="000A6859"/>
    <w:rsid w:val="000B0067"/>
    <w:rsid w:val="000B4F74"/>
    <w:rsid w:val="000B7218"/>
    <w:rsid w:val="000B7869"/>
    <w:rsid w:val="000C39B0"/>
    <w:rsid w:val="000C4BBC"/>
    <w:rsid w:val="000C678D"/>
    <w:rsid w:val="000D0679"/>
    <w:rsid w:val="000D1375"/>
    <w:rsid w:val="000D18EC"/>
    <w:rsid w:val="000D2B24"/>
    <w:rsid w:val="000D334B"/>
    <w:rsid w:val="000D58D3"/>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15AF"/>
    <w:rsid w:val="00104902"/>
    <w:rsid w:val="00105276"/>
    <w:rsid w:val="0010546D"/>
    <w:rsid w:val="0010618D"/>
    <w:rsid w:val="00110F74"/>
    <w:rsid w:val="00112950"/>
    <w:rsid w:val="00116429"/>
    <w:rsid w:val="00116811"/>
    <w:rsid w:val="00120CBF"/>
    <w:rsid w:val="001214AE"/>
    <w:rsid w:val="00122190"/>
    <w:rsid w:val="0012277A"/>
    <w:rsid w:val="0012444A"/>
    <w:rsid w:val="0012615B"/>
    <w:rsid w:val="00126E1A"/>
    <w:rsid w:val="00130E91"/>
    <w:rsid w:val="001315CB"/>
    <w:rsid w:val="00131AFF"/>
    <w:rsid w:val="00133395"/>
    <w:rsid w:val="001351EB"/>
    <w:rsid w:val="00135A74"/>
    <w:rsid w:val="00137200"/>
    <w:rsid w:val="0014069D"/>
    <w:rsid w:val="0014180B"/>
    <w:rsid w:val="00141F6D"/>
    <w:rsid w:val="00144F7C"/>
    <w:rsid w:val="00144FDD"/>
    <w:rsid w:val="00145F89"/>
    <w:rsid w:val="001512D7"/>
    <w:rsid w:val="00156359"/>
    <w:rsid w:val="001573DA"/>
    <w:rsid w:val="00157F16"/>
    <w:rsid w:val="00161C73"/>
    <w:rsid w:val="00164965"/>
    <w:rsid w:val="0016561A"/>
    <w:rsid w:val="00165F9B"/>
    <w:rsid w:val="00166E70"/>
    <w:rsid w:val="001706CE"/>
    <w:rsid w:val="00171914"/>
    <w:rsid w:val="00173477"/>
    <w:rsid w:val="001735AE"/>
    <w:rsid w:val="00176BE7"/>
    <w:rsid w:val="00180BAA"/>
    <w:rsid w:val="00186821"/>
    <w:rsid w:val="001927C1"/>
    <w:rsid w:val="00194778"/>
    <w:rsid w:val="001965EF"/>
    <w:rsid w:val="00196AD3"/>
    <w:rsid w:val="001A09A7"/>
    <w:rsid w:val="001A3577"/>
    <w:rsid w:val="001A5E68"/>
    <w:rsid w:val="001A65EF"/>
    <w:rsid w:val="001A6E64"/>
    <w:rsid w:val="001B07BB"/>
    <w:rsid w:val="001B3183"/>
    <w:rsid w:val="001B3471"/>
    <w:rsid w:val="001B515F"/>
    <w:rsid w:val="001B7369"/>
    <w:rsid w:val="001C055E"/>
    <w:rsid w:val="001C54B6"/>
    <w:rsid w:val="001C6513"/>
    <w:rsid w:val="001D2C8E"/>
    <w:rsid w:val="001D4399"/>
    <w:rsid w:val="001D69F3"/>
    <w:rsid w:val="001D747B"/>
    <w:rsid w:val="001E21C9"/>
    <w:rsid w:val="001E244E"/>
    <w:rsid w:val="001E3B48"/>
    <w:rsid w:val="001E4305"/>
    <w:rsid w:val="001E6D5E"/>
    <w:rsid w:val="001E7DE9"/>
    <w:rsid w:val="001F27BD"/>
    <w:rsid w:val="001F62BD"/>
    <w:rsid w:val="001F6791"/>
    <w:rsid w:val="001F7D2F"/>
    <w:rsid w:val="00200596"/>
    <w:rsid w:val="00201520"/>
    <w:rsid w:val="00201FB4"/>
    <w:rsid w:val="00202E77"/>
    <w:rsid w:val="00203D36"/>
    <w:rsid w:val="00204237"/>
    <w:rsid w:val="0021057E"/>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76C8"/>
    <w:rsid w:val="00251CFA"/>
    <w:rsid w:val="00253CE9"/>
    <w:rsid w:val="002553F6"/>
    <w:rsid w:val="00255DDC"/>
    <w:rsid w:val="00256DDC"/>
    <w:rsid w:val="0026064B"/>
    <w:rsid w:val="002611B2"/>
    <w:rsid w:val="00262F34"/>
    <w:rsid w:val="00266CCC"/>
    <w:rsid w:val="002702A8"/>
    <w:rsid w:val="002715F5"/>
    <w:rsid w:val="00271A13"/>
    <w:rsid w:val="00271A4B"/>
    <w:rsid w:val="00271E8B"/>
    <w:rsid w:val="00272536"/>
    <w:rsid w:val="002773CF"/>
    <w:rsid w:val="00280E6B"/>
    <w:rsid w:val="00281315"/>
    <w:rsid w:val="00281A87"/>
    <w:rsid w:val="00281EEF"/>
    <w:rsid w:val="002820E8"/>
    <w:rsid w:val="002927A0"/>
    <w:rsid w:val="00292875"/>
    <w:rsid w:val="00293D04"/>
    <w:rsid w:val="00293E95"/>
    <w:rsid w:val="002960BC"/>
    <w:rsid w:val="00296FE3"/>
    <w:rsid w:val="002A08FE"/>
    <w:rsid w:val="002A0EE7"/>
    <w:rsid w:val="002A1465"/>
    <w:rsid w:val="002A1534"/>
    <w:rsid w:val="002A1C01"/>
    <w:rsid w:val="002A27DD"/>
    <w:rsid w:val="002A35C0"/>
    <w:rsid w:val="002A482D"/>
    <w:rsid w:val="002A58FF"/>
    <w:rsid w:val="002B09A1"/>
    <w:rsid w:val="002B2704"/>
    <w:rsid w:val="002B2C8C"/>
    <w:rsid w:val="002B3F06"/>
    <w:rsid w:val="002B76BD"/>
    <w:rsid w:val="002C188C"/>
    <w:rsid w:val="002C4114"/>
    <w:rsid w:val="002C65B6"/>
    <w:rsid w:val="002C6F6F"/>
    <w:rsid w:val="002C7CB6"/>
    <w:rsid w:val="002D48CC"/>
    <w:rsid w:val="002D4CC7"/>
    <w:rsid w:val="002D4FBE"/>
    <w:rsid w:val="002D6A81"/>
    <w:rsid w:val="002D7345"/>
    <w:rsid w:val="002E00C3"/>
    <w:rsid w:val="002E1105"/>
    <w:rsid w:val="002E332E"/>
    <w:rsid w:val="002E50B6"/>
    <w:rsid w:val="002E7011"/>
    <w:rsid w:val="002F099C"/>
    <w:rsid w:val="002F1C8C"/>
    <w:rsid w:val="002F1E60"/>
    <w:rsid w:val="002F28ED"/>
    <w:rsid w:val="002F4B05"/>
    <w:rsid w:val="00300502"/>
    <w:rsid w:val="00302E72"/>
    <w:rsid w:val="003030FB"/>
    <w:rsid w:val="00306C18"/>
    <w:rsid w:val="0030770F"/>
    <w:rsid w:val="00314F38"/>
    <w:rsid w:val="003213CD"/>
    <w:rsid w:val="00323E33"/>
    <w:rsid w:val="00324D06"/>
    <w:rsid w:val="00331FD7"/>
    <w:rsid w:val="00333C34"/>
    <w:rsid w:val="00336024"/>
    <w:rsid w:val="00342C72"/>
    <w:rsid w:val="0034635A"/>
    <w:rsid w:val="003471BE"/>
    <w:rsid w:val="003476B3"/>
    <w:rsid w:val="00350C9A"/>
    <w:rsid w:val="00351D53"/>
    <w:rsid w:val="00352C22"/>
    <w:rsid w:val="003561F2"/>
    <w:rsid w:val="0035781C"/>
    <w:rsid w:val="0035796B"/>
    <w:rsid w:val="0036064E"/>
    <w:rsid w:val="00360EAB"/>
    <w:rsid w:val="00362184"/>
    <w:rsid w:val="003659AF"/>
    <w:rsid w:val="00365A0B"/>
    <w:rsid w:val="003665F7"/>
    <w:rsid w:val="00367DF1"/>
    <w:rsid w:val="003701E8"/>
    <w:rsid w:val="00372958"/>
    <w:rsid w:val="00375439"/>
    <w:rsid w:val="00375AA5"/>
    <w:rsid w:val="00375F76"/>
    <w:rsid w:val="00376926"/>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C61"/>
    <w:rsid w:val="003B6F17"/>
    <w:rsid w:val="003C3383"/>
    <w:rsid w:val="003C35D6"/>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C99"/>
    <w:rsid w:val="003F2104"/>
    <w:rsid w:val="003F30E0"/>
    <w:rsid w:val="003F6DA5"/>
    <w:rsid w:val="00401D41"/>
    <w:rsid w:val="004023A5"/>
    <w:rsid w:val="0040441D"/>
    <w:rsid w:val="004053CF"/>
    <w:rsid w:val="004062E5"/>
    <w:rsid w:val="00407CB8"/>
    <w:rsid w:val="00411A4E"/>
    <w:rsid w:val="004127B2"/>
    <w:rsid w:val="00412B1F"/>
    <w:rsid w:val="00413187"/>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23A"/>
    <w:rsid w:val="00457F94"/>
    <w:rsid w:val="004601B1"/>
    <w:rsid w:val="004609D7"/>
    <w:rsid w:val="00462017"/>
    <w:rsid w:val="00466F25"/>
    <w:rsid w:val="004673F2"/>
    <w:rsid w:val="004708F7"/>
    <w:rsid w:val="00470E07"/>
    <w:rsid w:val="00471253"/>
    <w:rsid w:val="00474779"/>
    <w:rsid w:val="00474FE5"/>
    <w:rsid w:val="004775C3"/>
    <w:rsid w:val="00481250"/>
    <w:rsid w:val="00481B29"/>
    <w:rsid w:val="00482C49"/>
    <w:rsid w:val="00484A20"/>
    <w:rsid w:val="00484C72"/>
    <w:rsid w:val="00493943"/>
    <w:rsid w:val="00493EAA"/>
    <w:rsid w:val="00496FBC"/>
    <w:rsid w:val="00497640"/>
    <w:rsid w:val="00497F17"/>
    <w:rsid w:val="004A1643"/>
    <w:rsid w:val="004A16AE"/>
    <w:rsid w:val="004A5A94"/>
    <w:rsid w:val="004A5BB3"/>
    <w:rsid w:val="004A729E"/>
    <w:rsid w:val="004A75DD"/>
    <w:rsid w:val="004B1191"/>
    <w:rsid w:val="004B37BC"/>
    <w:rsid w:val="004B3B08"/>
    <w:rsid w:val="004B6D91"/>
    <w:rsid w:val="004B6DB4"/>
    <w:rsid w:val="004B7001"/>
    <w:rsid w:val="004C1484"/>
    <w:rsid w:val="004C1B9B"/>
    <w:rsid w:val="004C256A"/>
    <w:rsid w:val="004C4B54"/>
    <w:rsid w:val="004C7E10"/>
    <w:rsid w:val="004D17AA"/>
    <w:rsid w:val="004D3585"/>
    <w:rsid w:val="004D43C9"/>
    <w:rsid w:val="004D59D7"/>
    <w:rsid w:val="004D7D70"/>
    <w:rsid w:val="004E0CCF"/>
    <w:rsid w:val="004E11D7"/>
    <w:rsid w:val="004E2A68"/>
    <w:rsid w:val="004E46A9"/>
    <w:rsid w:val="004F040C"/>
    <w:rsid w:val="004F6C74"/>
    <w:rsid w:val="005040C7"/>
    <w:rsid w:val="00505F2F"/>
    <w:rsid w:val="00506B82"/>
    <w:rsid w:val="00510657"/>
    <w:rsid w:val="005120D5"/>
    <w:rsid w:val="0051609F"/>
    <w:rsid w:val="005160BC"/>
    <w:rsid w:val="00516961"/>
    <w:rsid w:val="00521539"/>
    <w:rsid w:val="00523BBE"/>
    <w:rsid w:val="00524E6D"/>
    <w:rsid w:val="005266F8"/>
    <w:rsid w:val="005324DC"/>
    <w:rsid w:val="00532DE4"/>
    <w:rsid w:val="00532E55"/>
    <w:rsid w:val="00532EAA"/>
    <w:rsid w:val="005341AC"/>
    <w:rsid w:val="00534509"/>
    <w:rsid w:val="00545BAE"/>
    <w:rsid w:val="005520D7"/>
    <w:rsid w:val="005522C9"/>
    <w:rsid w:val="005536D9"/>
    <w:rsid w:val="00555A4B"/>
    <w:rsid w:val="00557A9B"/>
    <w:rsid w:val="00561A9E"/>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26BB"/>
    <w:rsid w:val="00594B0C"/>
    <w:rsid w:val="005950C9"/>
    <w:rsid w:val="0059740E"/>
    <w:rsid w:val="0059794A"/>
    <w:rsid w:val="00597FAA"/>
    <w:rsid w:val="005A0F40"/>
    <w:rsid w:val="005A11AB"/>
    <w:rsid w:val="005A15AB"/>
    <w:rsid w:val="005A376E"/>
    <w:rsid w:val="005A5500"/>
    <w:rsid w:val="005B03DB"/>
    <w:rsid w:val="005B07E1"/>
    <w:rsid w:val="005B16F2"/>
    <w:rsid w:val="005B191A"/>
    <w:rsid w:val="005B4A28"/>
    <w:rsid w:val="005B7B72"/>
    <w:rsid w:val="005C0D66"/>
    <w:rsid w:val="005C1194"/>
    <w:rsid w:val="005C11A1"/>
    <w:rsid w:val="005C40A7"/>
    <w:rsid w:val="005C63F7"/>
    <w:rsid w:val="005C7B6C"/>
    <w:rsid w:val="005D1530"/>
    <w:rsid w:val="005D1BD4"/>
    <w:rsid w:val="005D2017"/>
    <w:rsid w:val="005D2EF9"/>
    <w:rsid w:val="005D34F3"/>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15B9F"/>
    <w:rsid w:val="00620F8A"/>
    <w:rsid w:val="00627153"/>
    <w:rsid w:val="00633513"/>
    <w:rsid w:val="006360DE"/>
    <w:rsid w:val="00641460"/>
    <w:rsid w:val="00641885"/>
    <w:rsid w:val="00643254"/>
    <w:rsid w:val="006443D3"/>
    <w:rsid w:val="006449DA"/>
    <w:rsid w:val="006465F2"/>
    <w:rsid w:val="00647856"/>
    <w:rsid w:val="00652416"/>
    <w:rsid w:val="006529D4"/>
    <w:rsid w:val="00652FAC"/>
    <w:rsid w:val="0066106D"/>
    <w:rsid w:val="0066390C"/>
    <w:rsid w:val="00663B65"/>
    <w:rsid w:val="00664963"/>
    <w:rsid w:val="00670183"/>
    <w:rsid w:val="00674D9B"/>
    <w:rsid w:val="0068118E"/>
    <w:rsid w:val="006834CE"/>
    <w:rsid w:val="00687DAF"/>
    <w:rsid w:val="00691155"/>
    <w:rsid w:val="00691500"/>
    <w:rsid w:val="00691C09"/>
    <w:rsid w:val="00694663"/>
    <w:rsid w:val="00694771"/>
    <w:rsid w:val="00695F3B"/>
    <w:rsid w:val="00695FED"/>
    <w:rsid w:val="006A0689"/>
    <w:rsid w:val="006A084D"/>
    <w:rsid w:val="006A3DD3"/>
    <w:rsid w:val="006A4B59"/>
    <w:rsid w:val="006A5A9F"/>
    <w:rsid w:val="006B00EC"/>
    <w:rsid w:val="006B1BAA"/>
    <w:rsid w:val="006B3E20"/>
    <w:rsid w:val="006B41F1"/>
    <w:rsid w:val="006B4A0C"/>
    <w:rsid w:val="006B4F48"/>
    <w:rsid w:val="006B592B"/>
    <w:rsid w:val="006B6FF5"/>
    <w:rsid w:val="006B7583"/>
    <w:rsid w:val="006C0280"/>
    <w:rsid w:val="006C14EE"/>
    <w:rsid w:val="006C3160"/>
    <w:rsid w:val="006C4938"/>
    <w:rsid w:val="006D02DA"/>
    <w:rsid w:val="006D0652"/>
    <w:rsid w:val="006D11E4"/>
    <w:rsid w:val="006D244C"/>
    <w:rsid w:val="006D4126"/>
    <w:rsid w:val="006D5E7B"/>
    <w:rsid w:val="006D7CD3"/>
    <w:rsid w:val="006D7F36"/>
    <w:rsid w:val="006E06A3"/>
    <w:rsid w:val="006E159B"/>
    <w:rsid w:val="006E1DCD"/>
    <w:rsid w:val="006E274D"/>
    <w:rsid w:val="006F0EDA"/>
    <w:rsid w:val="006F2300"/>
    <w:rsid w:val="006F5D2F"/>
    <w:rsid w:val="006F77A5"/>
    <w:rsid w:val="007009E6"/>
    <w:rsid w:val="0070412E"/>
    <w:rsid w:val="007059AA"/>
    <w:rsid w:val="00706B0F"/>
    <w:rsid w:val="007070AF"/>
    <w:rsid w:val="007077C3"/>
    <w:rsid w:val="00707BAC"/>
    <w:rsid w:val="00707C88"/>
    <w:rsid w:val="00713B49"/>
    <w:rsid w:val="00715008"/>
    <w:rsid w:val="00721F34"/>
    <w:rsid w:val="00722C80"/>
    <w:rsid w:val="007244F1"/>
    <w:rsid w:val="007254B7"/>
    <w:rsid w:val="007256B4"/>
    <w:rsid w:val="0073233C"/>
    <w:rsid w:val="00733CD6"/>
    <w:rsid w:val="00740D11"/>
    <w:rsid w:val="00741F57"/>
    <w:rsid w:val="007477B0"/>
    <w:rsid w:val="00752554"/>
    <w:rsid w:val="00753BFB"/>
    <w:rsid w:val="00756A12"/>
    <w:rsid w:val="00757789"/>
    <w:rsid w:val="00757E61"/>
    <w:rsid w:val="007628A2"/>
    <w:rsid w:val="00763E7F"/>
    <w:rsid w:val="00766B19"/>
    <w:rsid w:val="0077018C"/>
    <w:rsid w:val="00772B8A"/>
    <w:rsid w:val="00773D2F"/>
    <w:rsid w:val="00774F6F"/>
    <w:rsid w:val="007773D9"/>
    <w:rsid w:val="007816A2"/>
    <w:rsid w:val="007823A4"/>
    <w:rsid w:val="00783107"/>
    <w:rsid w:val="00787532"/>
    <w:rsid w:val="0079056A"/>
    <w:rsid w:val="00790715"/>
    <w:rsid w:val="00791CE3"/>
    <w:rsid w:val="00792165"/>
    <w:rsid w:val="00795AC4"/>
    <w:rsid w:val="00796075"/>
    <w:rsid w:val="007A1A88"/>
    <w:rsid w:val="007A1AB2"/>
    <w:rsid w:val="007A1C3F"/>
    <w:rsid w:val="007A305C"/>
    <w:rsid w:val="007A3E74"/>
    <w:rsid w:val="007A4163"/>
    <w:rsid w:val="007A7524"/>
    <w:rsid w:val="007A7D9F"/>
    <w:rsid w:val="007B0169"/>
    <w:rsid w:val="007B0DCB"/>
    <w:rsid w:val="007B1B75"/>
    <w:rsid w:val="007B487C"/>
    <w:rsid w:val="007B605F"/>
    <w:rsid w:val="007B63D8"/>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6A2B"/>
    <w:rsid w:val="0082323B"/>
    <w:rsid w:val="008260DD"/>
    <w:rsid w:val="00830C2E"/>
    <w:rsid w:val="008313D4"/>
    <w:rsid w:val="00835AEA"/>
    <w:rsid w:val="00840344"/>
    <w:rsid w:val="0084194E"/>
    <w:rsid w:val="00843682"/>
    <w:rsid w:val="00843945"/>
    <w:rsid w:val="00847E91"/>
    <w:rsid w:val="00850213"/>
    <w:rsid w:val="00851D3E"/>
    <w:rsid w:val="00852C43"/>
    <w:rsid w:val="00854CDE"/>
    <w:rsid w:val="008561B0"/>
    <w:rsid w:val="008616FC"/>
    <w:rsid w:val="00862D21"/>
    <w:rsid w:val="0087296A"/>
    <w:rsid w:val="00873078"/>
    <w:rsid w:val="008763BE"/>
    <w:rsid w:val="008765FC"/>
    <w:rsid w:val="00877F4C"/>
    <w:rsid w:val="00881ABF"/>
    <w:rsid w:val="00881B6A"/>
    <w:rsid w:val="0088401B"/>
    <w:rsid w:val="00885E3A"/>
    <w:rsid w:val="0089500C"/>
    <w:rsid w:val="008A2D89"/>
    <w:rsid w:val="008A4C1E"/>
    <w:rsid w:val="008A54A4"/>
    <w:rsid w:val="008B016A"/>
    <w:rsid w:val="008B10A8"/>
    <w:rsid w:val="008B3FFC"/>
    <w:rsid w:val="008B5B7D"/>
    <w:rsid w:val="008C1A14"/>
    <w:rsid w:val="008C3CA2"/>
    <w:rsid w:val="008C48DA"/>
    <w:rsid w:val="008C661E"/>
    <w:rsid w:val="008C7F16"/>
    <w:rsid w:val="008D305A"/>
    <w:rsid w:val="008D438A"/>
    <w:rsid w:val="008D630E"/>
    <w:rsid w:val="008E1A41"/>
    <w:rsid w:val="008E2543"/>
    <w:rsid w:val="008E4057"/>
    <w:rsid w:val="008E4929"/>
    <w:rsid w:val="008E5530"/>
    <w:rsid w:val="008E725B"/>
    <w:rsid w:val="008F1153"/>
    <w:rsid w:val="008F13B3"/>
    <w:rsid w:val="008F13D0"/>
    <w:rsid w:val="008F302B"/>
    <w:rsid w:val="008F3089"/>
    <w:rsid w:val="008F3EA8"/>
    <w:rsid w:val="008F5059"/>
    <w:rsid w:val="008F63B0"/>
    <w:rsid w:val="0090240B"/>
    <w:rsid w:val="0090385B"/>
    <w:rsid w:val="00904C58"/>
    <w:rsid w:val="009069EE"/>
    <w:rsid w:val="00906CD4"/>
    <w:rsid w:val="009074CF"/>
    <w:rsid w:val="009108B0"/>
    <w:rsid w:val="00912A00"/>
    <w:rsid w:val="00912B0E"/>
    <w:rsid w:val="00914BF2"/>
    <w:rsid w:val="00915AEB"/>
    <w:rsid w:val="00915ECD"/>
    <w:rsid w:val="00916F8E"/>
    <w:rsid w:val="009209E5"/>
    <w:rsid w:val="00921764"/>
    <w:rsid w:val="00921957"/>
    <w:rsid w:val="0092542D"/>
    <w:rsid w:val="009259C5"/>
    <w:rsid w:val="00926B77"/>
    <w:rsid w:val="00931C6F"/>
    <w:rsid w:val="00932943"/>
    <w:rsid w:val="00934028"/>
    <w:rsid w:val="0093408A"/>
    <w:rsid w:val="00934DE1"/>
    <w:rsid w:val="00935118"/>
    <w:rsid w:val="00936F1F"/>
    <w:rsid w:val="00940E80"/>
    <w:rsid w:val="0094130A"/>
    <w:rsid w:val="00943C8B"/>
    <w:rsid w:val="00945C06"/>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3349"/>
    <w:rsid w:val="0098447D"/>
    <w:rsid w:val="00991B6D"/>
    <w:rsid w:val="0099203C"/>
    <w:rsid w:val="009925C5"/>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3C2A"/>
    <w:rsid w:val="009E3E14"/>
    <w:rsid w:val="009E5228"/>
    <w:rsid w:val="009E54DA"/>
    <w:rsid w:val="009E60F6"/>
    <w:rsid w:val="009E6DAC"/>
    <w:rsid w:val="009F4D0F"/>
    <w:rsid w:val="00A02917"/>
    <w:rsid w:val="00A04F2A"/>
    <w:rsid w:val="00A05D9F"/>
    <w:rsid w:val="00A0699F"/>
    <w:rsid w:val="00A0774D"/>
    <w:rsid w:val="00A10D42"/>
    <w:rsid w:val="00A116A0"/>
    <w:rsid w:val="00A11A45"/>
    <w:rsid w:val="00A11B70"/>
    <w:rsid w:val="00A12371"/>
    <w:rsid w:val="00A167BE"/>
    <w:rsid w:val="00A17D67"/>
    <w:rsid w:val="00A2251C"/>
    <w:rsid w:val="00A25170"/>
    <w:rsid w:val="00A307F8"/>
    <w:rsid w:val="00A30923"/>
    <w:rsid w:val="00A315E3"/>
    <w:rsid w:val="00A34971"/>
    <w:rsid w:val="00A40FD1"/>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5BFF"/>
    <w:rsid w:val="00A71D0A"/>
    <w:rsid w:val="00A72DC8"/>
    <w:rsid w:val="00A770F1"/>
    <w:rsid w:val="00A812C2"/>
    <w:rsid w:val="00A8315B"/>
    <w:rsid w:val="00A857B5"/>
    <w:rsid w:val="00A87689"/>
    <w:rsid w:val="00A90B8C"/>
    <w:rsid w:val="00A915BD"/>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6A4"/>
    <w:rsid w:val="00AB357F"/>
    <w:rsid w:val="00AB66DB"/>
    <w:rsid w:val="00AB6DDF"/>
    <w:rsid w:val="00AC0742"/>
    <w:rsid w:val="00AC0BF0"/>
    <w:rsid w:val="00AC2AA6"/>
    <w:rsid w:val="00AC33F5"/>
    <w:rsid w:val="00AD3E3F"/>
    <w:rsid w:val="00AD4335"/>
    <w:rsid w:val="00AD6423"/>
    <w:rsid w:val="00AD73C1"/>
    <w:rsid w:val="00AD7D8B"/>
    <w:rsid w:val="00AE0DB0"/>
    <w:rsid w:val="00AE50D0"/>
    <w:rsid w:val="00AF0505"/>
    <w:rsid w:val="00AF2933"/>
    <w:rsid w:val="00AF3088"/>
    <w:rsid w:val="00AF5CBA"/>
    <w:rsid w:val="00AF5E77"/>
    <w:rsid w:val="00AF6AF2"/>
    <w:rsid w:val="00B00129"/>
    <w:rsid w:val="00B037F6"/>
    <w:rsid w:val="00B03E3A"/>
    <w:rsid w:val="00B05907"/>
    <w:rsid w:val="00B06EEB"/>
    <w:rsid w:val="00B074EB"/>
    <w:rsid w:val="00B07E87"/>
    <w:rsid w:val="00B10065"/>
    <w:rsid w:val="00B10A08"/>
    <w:rsid w:val="00B10E11"/>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65F8"/>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43CE"/>
    <w:rsid w:val="00BC1273"/>
    <w:rsid w:val="00BC160C"/>
    <w:rsid w:val="00BC3508"/>
    <w:rsid w:val="00BE0EF3"/>
    <w:rsid w:val="00BE1BA1"/>
    <w:rsid w:val="00BE35C1"/>
    <w:rsid w:val="00BE3C14"/>
    <w:rsid w:val="00BE4CD1"/>
    <w:rsid w:val="00BF3C2F"/>
    <w:rsid w:val="00BF4421"/>
    <w:rsid w:val="00C00824"/>
    <w:rsid w:val="00C008BA"/>
    <w:rsid w:val="00C01262"/>
    <w:rsid w:val="00C02544"/>
    <w:rsid w:val="00C030D6"/>
    <w:rsid w:val="00C03FE3"/>
    <w:rsid w:val="00C050BC"/>
    <w:rsid w:val="00C062C8"/>
    <w:rsid w:val="00C06D5E"/>
    <w:rsid w:val="00C06E6E"/>
    <w:rsid w:val="00C07551"/>
    <w:rsid w:val="00C07B4C"/>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2880"/>
    <w:rsid w:val="00C743A6"/>
    <w:rsid w:val="00C747B4"/>
    <w:rsid w:val="00C74AEF"/>
    <w:rsid w:val="00C766A4"/>
    <w:rsid w:val="00C77F34"/>
    <w:rsid w:val="00C80F24"/>
    <w:rsid w:val="00C829AC"/>
    <w:rsid w:val="00C83458"/>
    <w:rsid w:val="00C83E56"/>
    <w:rsid w:val="00C87836"/>
    <w:rsid w:val="00C908CF"/>
    <w:rsid w:val="00C90FD3"/>
    <w:rsid w:val="00C95058"/>
    <w:rsid w:val="00C9521B"/>
    <w:rsid w:val="00CA134D"/>
    <w:rsid w:val="00CA3421"/>
    <w:rsid w:val="00CB1071"/>
    <w:rsid w:val="00CB171D"/>
    <w:rsid w:val="00CB317F"/>
    <w:rsid w:val="00CB635A"/>
    <w:rsid w:val="00CB6B45"/>
    <w:rsid w:val="00CB77B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5F23"/>
    <w:rsid w:val="00CF69F2"/>
    <w:rsid w:val="00D16BC9"/>
    <w:rsid w:val="00D20034"/>
    <w:rsid w:val="00D210A7"/>
    <w:rsid w:val="00D21BE1"/>
    <w:rsid w:val="00D22E26"/>
    <w:rsid w:val="00D2529E"/>
    <w:rsid w:val="00D3208D"/>
    <w:rsid w:val="00D32C1B"/>
    <w:rsid w:val="00D33F43"/>
    <w:rsid w:val="00D35B3D"/>
    <w:rsid w:val="00D3699F"/>
    <w:rsid w:val="00D43454"/>
    <w:rsid w:val="00D43BEF"/>
    <w:rsid w:val="00D45657"/>
    <w:rsid w:val="00D462C9"/>
    <w:rsid w:val="00D5193D"/>
    <w:rsid w:val="00D52E46"/>
    <w:rsid w:val="00D57735"/>
    <w:rsid w:val="00D620BA"/>
    <w:rsid w:val="00D62530"/>
    <w:rsid w:val="00D65CEF"/>
    <w:rsid w:val="00D66097"/>
    <w:rsid w:val="00D709B7"/>
    <w:rsid w:val="00D72B6B"/>
    <w:rsid w:val="00D76DF6"/>
    <w:rsid w:val="00D81C65"/>
    <w:rsid w:val="00D834AB"/>
    <w:rsid w:val="00D84406"/>
    <w:rsid w:val="00D847E9"/>
    <w:rsid w:val="00D85229"/>
    <w:rsid w:val="00D879A4"/>
    <w:rsid w:val="00D87D1C"/>
    <w:rsid w:val="00D92533"/>
    <w:rsid w:val="00D92CB5"/>
    <w:rsid w:val="00DA1D30"/>
    <w:rsid w:val="00DA3470"/>
    <w:rsid w:val="00DA40CF"/>
    <w:rsid w:val="00DA529C"/>
    <w:rsid w:val="00DA5D84"/>
    <w:rsid w:val="00DA730B"/>
    <w:rsid w:val="00DA751F"/>
    <w:rsid w:val="00DB2F50"/>
    <w:rsid w:val="00DB6C32"/>
    <w:rsid w:val="00DC0E3F"/>
    <w:rsid w:val="00DC278D"/>
    <w:rsid w:val="00DC3625"/>
    <w:rsid w:val="00DC44B8"/>
    <w:rsid w:val="00DC5098"/>
    <w:rsid w:val="00DC5180"/>
    <w:rsid w:val="00DC62D9"/>
    <w:rsid w:val="00DC7967"/>
    <w:rsid w:val="00DD34BB"/>
    <w:rsid w:val="00DE00E1"/>
    <w:rsid w:val="00DE0CCB"/>
    <w:rsid w:val="00DE4EAA"/>
    <w:rsid w:val="00DE6A1E"/>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5C74"/>
    <w:rsid w:val="00E15DB9"/>
    <w:rsid w:val="00E162EC"/>
    <w:rsid w:val="00E166DD"/>
    <w:rsid w:val="00E175AA"/>
    <w:rsid w:val="00E2087E"/>
    <w:rsid w:val="00E20DAE"/>
    <w:rsid w:val="00E23A92"/>
    <w:rsid w:val="00E243E8"/>
    <w:rsid w:val="00E30BA1"/>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4351"/>
    <w:rsid w:val="00E549AB"/>
    <w:rsid w:val="00E5616F"/>
    <w:rsid w:val="00E56DB5"/>
    <w:rsid w:val="00E643B7"/>
    <w:rsid w:val="00E65216"/>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11EE"/>
    <w:rsid w:val="00F03916"/>
    <w:rsid w:val="00F03A94"/>
    <w:rsid w:val="00F03E83"/>
    <w:rsid w:val="00F06468"/>
    <w:rsid w:val="00F06E5E"/>
    <w:rsid w:val="00F0720C"/>
    <w:rsid w:val="00F07CA3"/>
    <w:rsid w:val="00F1018C"/>
    <w:rsid w:val="00F13034"/>
    <w:rsid w:val="00F22B0E"/>
    <w:rsid w:val="00F26458"/>
    <w:rsid w:val="00F313FB"/>
    <w:rsid w:val="00F32110"/>
    <w:rsid w:val="00F322C2"/>
    <w:rsid w:val="00F33934"/>
    <w:rsid w:val="00F40717"/>
    <w:rsid w:val="00F4191D"/>
    <w:rsid w:val="00F427C6"/>
    <w:rsid w:val="00F435BC"/>
    <w:rsid w:val="00F44D73"/>
    <w:rsid w:val="00F46008"/>
    <w:rsid w:val="00F461DD"/>
    <w:rsid w:val="00F51864"/>
    <w:rsid w:val="00F56263"/>
    <w:rsid w:val="00F56FF3"/>
    <w:rsid w:val="00F5772C"/>
    <w:rsid w:val="00F62A38"/>
    <w:rsid w:val="00F63660"/>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4B36"/>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2C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7482">
      <w:bodyDiv w:val="1"/>
      <w:marLeft w:val="0"/>
      <w:marRight w:val="0"/>
      <w:marTop w:val="0"/>
      <w:marBottom w:val="0"/>
      <w:divBdr>
        <w:top w:val="none" w:sz="0" w:space="0" w:color="auto"/>
        <w:left w:val="none" w:sz="0" w:space="0" w:color="auto"/>
        <w:bottom w:val="none" w:sz="0" w:space="0" w:color="auto"/>
        <w:right w:val="none" w:sz="0" w:space="0" w:color="auto"/>
      </w:divBdr>
      <w:divsChild>
        <w:div w:id="963273958">
          <w:marLeft w:val="720"/>
          <w:marRight w:val="0"/>
          <w:marTop w:val="200"/>
          <w:marBottom w:val="0"/>
          <w:divBdr>
            <w:top w:val="none" w:sz="0" w:space="0" w:color="auto"/>
            <w:left w:val="none" w:sz="0" w:space="0" w:color="auto"/>
            <w:bottom w:val="none" w:sz="0" w:space="0" w:color="auto"/>
            <w:right w:val="none" w:sz="0" w:space="0" w:color="auto"/>
          </w:divBdr>
        </w:div>
      </w:divsChild>
    </w:div>
    <w:div w:id="77102546">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98051897">
      <w:bodyDiv w:val="1"/>
      <w:marLeft w:val="0"/>
      <w:marRight w:val="0"/>
      <w:marTop w:val="0"/>
      <w:marBottom w:val="0"/>
      <w:divBdr>
        <w:top w:val="none" w:sz="0" w:space="0" w:color="auto"/>
        <w:left w:val="none" w:sz="0" w:space="0" w:color="auto"/>
        <w:bottom w:val="none" w:sz="0" w:space="0" w:color="auto"/>
        <w:right w:val="none" w:sz="0" w:space="0" w:color="auto"/>
      </w:divBdr>
      <w:divsChild>
        <w:div w:id="552694778">
          <w:marLeft w:val="2434"/>
          <w:marRight w:val="0"/>
          <w:marTop w:val="100"/>
          <w:marBottom w:val="0"/>
          <w:divBdr>
            <w:top w:val="none" w:sz="0" w:space="0" w:color="auto"/>
            <w:left w:val="none" w:sz="0" w:space="0" w:color="auto"/>
            <w:bottom w:val="none" w:sz="0" w:space="0" w:color="auto"/>
            <w:right w:val="none" w:sz="0" w:space="0" w:color="auto"/>
          </w:divBdr>
        </w:div>
        <w:div w:id="1674727020">
          <w:marLeft w:val="2434"/>
          <w:marRight w:val="0"/>
          <w:marTop w:val="100"/>
          <w:marBottom w:val="0"/>
          <w:divBdr>
            <w:top w:val="none" w:sz="0" w:space="0" w:color="auto"/>
            <w:left w:val="none" w:sz="0" w:space="0" w:color="auto"/>
            <w:bottom w:val="none" w:sz="0" w:space="0" w:color="auto"/>
            <w:right w:val="none" w:sz="0" w:space="0" w:color="auto"/>
          </w:divBdr>
        </w:div>
        <w:div w:id="512959195">
          <w:marLeft w:val="2434"/>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975184088">
      <w:bodyDiv w:val="1"/>
      <w:marLeft w:val="0"/>
      <w:marRight w:val="0"/>
      <w:marTop w:val="0"/>
      <w:marBottom w:val="0"/>
      <w:divBdr>
        <w:top w:val="none" w:sz="0" w:space="0" w:color="auto"/>
        <w:left w:val="none" w:sz="0" w:space="0" w:color="auto"/>
        <w:bottom w:val="none" w:sz="0" w:space="0" w:color="auto"/>
        <w:right w:val="none" w:sz="0" w:space="0" w:color="auto"/>
      </w:divBdr>
      <w:divsChild>
        <w:div w:id="384986271">
          <w:marLeft w:val="360"/>
          <w:marRight w:val="0"/>
          <w:marTop w:val="200"/>
          <w:marBottom w:val="0"/>
          <w:divBdr>
            <w:top w:val="none" w:sz="0" w:space="0" w:color="auto"/>
            <w:left w:val="none" w:sz="0" w:space="0" w:color="auto"/>
            <w:bottom w:val="none" w:sz="0" w:space="0" w:color="auto"/>
            <w:right w:val="none" w:sz="0" w:space="0" w:color="auto"/>
          </w:divBdr>
        </w:div>
        <w:div w:id="270822969">
          <w:marLeft w:val="1080"/>
          <w:marRight w:val="0"/>
          <w:marTop w:val="100"/>
          <w:marBottom w:val="0"/>
          <w:divBdr>
            <w:top w:val="none" w:sz="0" w:space="0" w:color="auto"/>
            <w:left w:val="none" w:sz="0" w:space="0" w:color="auto"/>
            <w:bottom w:val="none" w:sz="0" w:space="0" w:color="auto"/>
            <w:right w:val="none" w:sz="0" w:space="0" w:color="auto"/>
          </w:divBdr>
        </w:div>
        <w:div w:id="950092888">
          <w:marLeft w:val="1800"/>
          <w:marRight w:val="0"/>
          <w:marTop w:val="100"/>
          <w:marBottom w:val="0"/>
          <w:divBdr>
            <w:top w:val="none" w:sz="0" w:space="0" w:color="auto"/>
            <w:left w:val="none" w:sz="0" w:space="0" w:color="auto"/>
            <w:bottom w:val="none" w:sz="0" w:space="0" w:color="auto"/>
            <w:right w:val="none" w:sz="0" w:space="0" w:color="auto"/>
          </w:divBdr>
        </w:div>
        <w:div w:id="1862864536">
          <w:marLeft w:val="2520"/>
          <w:marRight w:val="0"/>
          <w:marTop w:val="100"/>
          <w:marBottom w:val="0"/>
          <w:divBdr>
            <w:top w:val="none" w:sz="0" w:space="0" w:color="auto"/>
            <w:left w:val="none" w:sz="0" w:space="0" w:color="auto"/>
            <w:bottom w:val="none" w:sz="0" w:space="0" w:color="auto"/>
            <w:right w:val="none" w:sz="0" w:space="0" w:color="auto"/>
          </w:divBdr>
        </w:div>
        <w:div w:id="1071849939">
          <w:marLeft w:val="2520"/>
          <w:marRight w:val="0"/>
          <w:marTop w:val="100"/>
          <w:marBottom w:val="0"/>
          <w:divBdr>
            <w:top w:val="none" w:sz="0" w:space="0" w:color="auto"/>
            <w:left w:val="none" w:sz="0" w:space="0" w:color="auto"/>
            <w:bottom w:val="none" w:sz="0" w:space="0" w:color="auto"/>
            <w:right w:val="none" w:sz="0" w:space="0" w:color="auto"/>
          </w:divBdr>
        </w:div>
        <w:div w:id="412245380">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2122223">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0830724">
      <w:bodyDiv w:val="1"/>
      <w:marLeft w:val="0"/>
      <w:marRight w:val="0"/>
      <w:marTop w:val="0"/>
      <w:marBottom w:val="0"/>
      <w:divBdr>
        <w:top w:val="none" w:sz="0" w:space="0" w:color="auto"/>
        <w:left w:val="none" w:sz="0" w:space="0" w:color="auto"/>
        <w:bottom w:val="none" w:sz="0" w:space="0" w:color="auto"/>
        <w:right w:val="none" w:sz="0" w:space="0" w:color="auto"/>
      </w:divBdr>
      <w:divsChild>
        <w:div w:id="1382248198">
          <w:marLeft w:val="360"/>
          <w:marRight w:val="0"/>
          <w:marTop w:val="200"/>
          <w:marBottom w:val="0"/>
          <w:divBdr>
            <w:top w:val="none" w:sz="0" w:space="0" w:color="auto"/>
            <w:left w:val="none" w:sz="0" w:space="0" w:color="auto"/>
            <w:bottom w:val="none" w:sz="0" w:space="0" w:color="auto"/>
            <w:right w:val="none" w:sz="0" w:space="0" w:color="auto"/>
          </w:divBdr>
        </w:div>
        <w:div w:id="2020697957">
          <w:marLeft w:val="1080"/>
          <w:marRight w:val="0"/>
          <w:marTop w:val="100"/>
          <w:marBottom w:val="0"/>
          <w:divBdr>
            <w:top w:val="none" w:sz="0" w:space="0" w:color="auto"/>
            <w:left w:val="none" w:sz="0" w:space="0" w:color="auto"/>
            <w:bottom w:val="none" w:sz="0" w:space="0" w:color="auto"/>
            <w:right w:val="none" w:sz="0" w:space="0" w:color="auto"/>
          </w:divBdr>
        </w:div>
        <w:div w:id="1989821804">
          <w:marLeft w:val="360"/>
          <w:marRight w:val="0"/>
          <w:marTop w:val="200"/>
          <w:marBottom w:val="0"/>
          <w:divBdr>
            <w:top w:val="none" w:sz="0" w:space="0" w:color="auto"/>
            <w:left w:val="none" w:sz="0" w:space="0" w:color="auto"/>
            <w:bottom w:val="none" w:sz="0" w:space="0" w:color="auto"/>
            <w:right w:val="none" w:sz="0" w:space="0" w:color="auto"/>
          </w:divBdr>
        </w:div>
        <w:div w:id="1358697465">
          <w:marLeft w:val="1080"/>
          <w:marRight w:val="0"/>
          <w:marTop w:val="100"/>
          <w:marBottom w:val="0"/>
          <w:divBdr>
            <w:top w:val="none" w:sz="0" w:space="0" w:color="auto"/>
            <w:left w:val="none" w:sz="0" w:space="0" w:color="auto"/>
            <w:bottom w:val="none" w:sz="0" w:space="0" w:color="auto"/>
            <w:right w:val="none" w:sz="0" w:space="0" w:color="auto"/>
          </w:divBdr>
        </w:div>
        <w:div w:id="117720931">
          <w:marLeft w:val="1080"/>
          <w:marRight w:val="0"/>
          <w:marTop w:val="100"/>
          <w:marBottom w:val="0"/>
          <w:divBdr>
            <w:top w:val="none" w:sz="0" w:space="0" w:color="auto"/>
            <w:left w:val="none" w:sz="0" w:space="0" w:color="auto"/>
            <w:bottom w:val="none" w:sz="0" w:space="0" w:color="auto"/>
            <w:right w:val="none" w:sz="0" w:space="0" w:color="auto"/>
          </w:divBdr>
        </w:div>
        <w:div w:id="845900810">
          <w:marLeft w:val="1800"/>
          <w:marRight w:val="0"/>
          <w:marTop w:val="100"/>
          <w:marBottom w:val="0"/>
          <w:divBdr>
            <w:top w:val="none" w:sz="0" w:space="0" w:color="auto"/>
            <w:left w:val="none" w:sz="0" w:space="0" w:color="auto"/>
            <w:bottom w:val="none" w:sz="0" w:space="0" w:color="auto"/>
            <w:right w:val="none" w:sz="0" w:space="0" w:color="auto"/>
          </w:divBdr>
        </w:div>
        <w:div w:id="235866278">
          <w:marLeft w:val="1800"/>
          <w:marRight w:val="0"/>
          <w:marTop w:val="100"/>
          <w:marBottom w:val="0"/>
          <w:divBdr>
            <w:top w:val="none" w:sz="0" w:space="0" w:color="auto"/>
            <w:left w:val="none" w:sz="0" w:space="0" w:color="auto"/>
            <w:bottom w:val="none" w:sz="0" w:space="0" w:color="auto"/>
            <w:right w:val="none" w:sz="0" w:space="0" w:color="auto"/>
          </w:divBdr>
        </w:div>
        <w:div w:id="1849171593">
          <w:marLeft w:val="1080"/>
          <w:marRight w:val="0"/>
          <w:marTop w:val="100"/>
          <w:marBottom w:val="0"/>
          <w:divBdr>
            <w:top w:val="none" w:sz="0" w:space="0" w:color="auto"/>
            <w:left w:val="none" w:sz="0" w:space="0" w:color="auto"/>
            <w:bottom w:val="none" w:sz="0" w:space="0" w:color="auto"/>
            <w:right w:val="none" w:sz="0" w:space="0" w:color="auto"/>
          </w:divBdr>
        </w:div>
        <w:div w:id="895972248">
          <w:marLeft w:val="1080"/>
          <w:marRight w:val="0"/>
          <w:marTop w:val="100"/>
          <w:marBottom w:val="0"/>
          <w:divBdr>
            <w:top w:val="none" w:sz="0" w:space="0" w:color="auto"/>
            <w:left w:val="none" w:sz="0" w:space="0" w:color="auto"/>
            <w:bottom w:val="none" w:sz="0" w:space="0" w:color="auto"/>
            <w:right w:val="none" w:sz="0" w:space="0" w:color="auto"/>
          </w:divBdr>
        </w:div>
      </w:divsChild>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0925531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4050443">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1473671476">
          <w:marLeft w:val="1080"/>
          <w:marRight w:val="0"/>
          <w:marTop w:val="100"/>
          <w:marBottom w:val="0"/>
          <w:divBdr>
            <w:top w:val="none" w:sz="0" w:space="0" w:color="auto"/>
            <w:left w:val="none" w:sz="0" w:space="0" w:color="auto"/>
            <w:bottom w:val="none" w:sz="0" w:space="0" w:color="auto"/>
            <w:right w:val="none" w:sz="0" w:space="0" w:color="auto"/>
          </w:divBdr>
        </w:div>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CE53E-6EC5-4BCF-8265-00C9FE48B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5251</TotalTime>
  <Pages>3</Pages>
  <Words>708</Words>
  <Characters>4037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325</cp:revision>
  <cp:lastPrinted>2020-04-08T05:49:00Z</cp:lastPrinted>
  <dcterms:created xsi:type="dcterms:W3CDTF">2020-04-08T09:11:00Z</dcterms:created>
  <dcterms:modified xsi:type="dcterms:W3CDTF">2021-04-02T07:24:00Z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